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AEA" w14:textId="6B7AB643" w:rsidR="00C22CA8" w:rsidRPr="00461F2B" w:rsidRDefault="00366C96" w:rsidP="008F17B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</w:t>
      </w:r>
      <w:r w:rsidR="00582883">
        <w:rPr>
          <w:sz w:val="20"/>
          <w:szCs w:val="20"/>
        </w:rPr>
        <w:t>RE4v1 Option A</w:t>
      </w:r>
      <w:r>
        <w:rPr>
          <w:sz w:val="20"/>
          <w:szCs w:val="20"/>
        </w:rPr>
        <w:t xml:space="preserve"> rubric: </w:t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b/>
          <w:sz w:val="20"/>
          <w:szCs w:val="20"/>
        </w:rPr>
        <w:t xml:space="preserve">No RE4v0 submitted: -5 </w:t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No hard copy submitted: -5</w:t>
      </w:r>
      <w:r w:rsidR="00461F2B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No writer’s memo: -10</w:t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RE</w:t>
      </w:r>
      <w:r w:rsidR="00582883">
        <w:rPr>
          <w:b/>
          <w:sz w:val="20"/>
          <w:szCs w:val="20"/>
        </w:rPr>
        <w:t>4</w:t>
      </w:r>
      <w:r w:rsidR="00461F2B">
        <w:rPr>
          <w:b/>
          <w:sz w:val="20"/>
          <w:szCs w:val="20"/>
        </w:rPr>
        <w:t>v1 submitted late: -15</w:t>
      </w:r>
      <w:r w:rsidR="00461F2B"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71DF2FD4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71DF2FD4">
        <w:tc>
          <w:tcPr>
            <w:tcW w:w="1485" w:type="dxa"/>
          </w:tcPr>
          <w:p w14:paraId="551FEFE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518EBDCD" w14:textId="77777777" w:rsidR="00582883" w:rsidRDefault="00582883" w:rsidP="0058288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the following: </w:t>
            </w:r>
          </w:p>
          <w:p w14:paraId="6C14370A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brief summary that includes the NCTC’s (i.e., Richardson’s) accepted definition of terrorism</w:t>
            </w:r>
          </w:p>
          <w:p w14:paraId="5E90651B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describe Richardson’s four essential elements of terrorism to help clarify actions that would or would not be considered terrorism under this definition.</w:t>
            </w:r>
          </w:p>
          <w:p w14:paraId="64839AFE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Richardson’s three R’s </w:t>
            </w:r>
          </w:p>
          <w:p w14:paraId="27DDE87A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different types of terrorism that could be committed by a state. Include two historical examples of each of these three types of state-related terrorism.</w:t>
            </w:r>
          </w:p>
          <w:p w14:paraId="072C60DF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and explain how a terrorist could acquire NEM and the three possible pathways for terrorists to obtain nuclear weapons. Specify which pathway is considered most likely to occur.</w:t>
            </w:r>
          </w:p>
          <w:p w14:paraId="4C8D089A" w14:textId="77777777" w:rsidR="00582883" w:rsidRDefault="00582883" w:rsidP="0058288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Briefly describes the difficulties involved for terrorists, the most likely sources of materials or weapons, </w:t>
            </w:r>
            <w:proofErr w:type="gramStart"/>
            <w:r>
              <w:rPr>
                <w:sz w:val="20"/>
                <w:szCs w:val="20"/>
              </w:rPr>
              <w:t>and  the</w:t>
            </w:r>
            <w:proofErr w:type="gramEnd"/>
            <w:r>
              <w:rPr>
                <w:sz w:val="20"/>
                <w:szCs w:val="20"/>
              </w:rPr>
              <w:t xml:space="preserve"> ways in which material or weapon acquisition by terrorists may change, depending on the type of terrorism being implemented</w:t>
            </w:r>
          </w:p>
          <w:p w14:paraId="2275EC7A" w14:textId="0DD578FA" w:rsidR="00C22CA8" w:rsidRPr="005843D3" w:rsidRDefault="00C22CA8" w:rsidP="00582883">
            <w:pPr>
              <w:pStyle w:val="List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0FDC5CF" w14:textId="1EC5F0A4" w:rsidR="00C22CA8" w:rsidRDefault="00582883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66C96">
              <w:rPr>
                <w:sz w:val="20"/>
                <w:szCs w:val="20"/>
              </w:rPr>
              <w:t>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71DF2FD4">
        <w:tc>
          <w:tcPr>
            <w:tcW w:w="1485" w:type="dxa"/>
          </w:tcPr>
          <w:p w14:paraId="586D2D06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12E09F53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Precisely uses Richardson’s definitions and concepts</w:t>
            </w:r>
          </w:p>
          <w:p w14:paraId="4E4CEF9E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789170A3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Accurately defines the different types of terrorism that could be committed by a state.</w:t>
            </w:r>
          </w:p>
          <w:p w14:paraId="7E9B2129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20541D27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Accurately describes methods for a </w:t>
            </w:r>
            <w:proofErr w:type="gramStart"/>
            <w:r>
              <w:rPr>
                <w:sz w:val="20"/>
                <w:szCs w:val="20"/>
              </w:rPr>
              <w:t>terrorists</w:t>
            </w:r>
            <w:proofErr w:type="gramEnd"/>
            <w:r>
              <w:rPr>
                <w:sz w:val="20"/>
                <w:szCs w:val="20"/>
              </w:rPr>
              <w:t xml:space="preserve"> could acquiring NEM and nuclear weapons.</w:t>
            </w:r>
          </w:p>
          <w:p w14:paraId="55EF335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6F653111" w14:textId="0DAA2A9A" w:rsidR="009837B4" w:rsidRDefault="00582883" w:rsidP="0058288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Accurately explains the ways in which material or weapon acquisition by terrorists may change, depending on the type of terrorism being implemented</w:t>
            </w:r>
          </w:p>
        </w:tc>
        <w:tc>
          <w:tcPr>
            <w:tcW w:w="800" w:type="dxa"/>
          </w:tcPr>
          <w:p w14:paraId="18185CFA" w14:textId="512245AF" w:rsidR="00C22CA8" w:rsidRDefault="00FD4B79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71DF2FD4">
        <w:trPr>
          <w:trHeight w:val="1520"/>
        </w:trPr>
        <w:tc>
          <w:tcPr>
            <w:tcW w:w="1485" w:type="dxa"/>
          </w:tcPr>
          <w:p w14:paraId="52BF9D6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5FC86566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bias or personal opinion put forth</w:t>
            </w:r>
          </w:p>
          <w:p w14:paraId="1C05F234" w14:textId="768B79B1" w:rsidR="00BB6140" w:rsidRDefault="00BB6140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B296572" w14:textId="12EE9633" w:rsidR="00C22CA8" w:rsidRDefault="3F25B0F4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F25B0F4"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F5B38C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F5E9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71DF2FD4">
        <w:trPr>
          <w:trHeight w:val="2940"/>
        </w:trPr>
        <w:tc>
          <w:tcPr>
            <w:tcW w:w="1485" w:type="dxa"/>
          </w:tcPr>
          <w:p w14:paraId="24E00DB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2E613217" w14:textId="5E6D8490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Written in a </w:t>
            </w:r>
            <w:proofErr w:type="gramStart"/>
            <w:r>
              <w:rPr>
                <w:sz w:val="20"/>
                <w:szCs w:val="20"/>
              </w:rPr>
              <w:t>Bottom Line</w:t>
            </w:r>
            <w:proofErr w:type="gramEnd"/>
            <w:r>
              <w:rPr>
                <w:sz w:val="20"/>
                <w:szCs w:val="20"/>
              </w:rPr>
              <w:t xml:space="preserve"> Up Front (BLUF) style, most important information in the first sentence of each paragraph</w:t>
            </w:r>
          </w:p>
          <w:p w14:paraId="61CB5885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Geared towards the presidential administration, tone of intelligence analyst of NCTC</w:t>
            </w:r>
          </w:p>
          <w:p w14:paraId="510FE10C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6939776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and thoughtful use of sources, including the course slides, </w:t>
            </w:r>
          </w:p>
          <w:p w14:paraId="5CA78A48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Louise Richardson’s </w:t>
            </w:r>
            <w:r>
              <w:rPr>
                <w:i/>
                <w:sz w:val="20"/>
                <w:szCs w:val="20"/>
              </w:rPr>
              <w:t xml:space="preserve">What Terrorists </w:t>
            </w:r>
            <w:proofErr w:type="gramStart"/>
            <w:r>
              <w:rPr>
                <w:i/>
                <w:sz w:val="20"/>
                <w:szCs w:val="20"/>
              </w:rPr>
              <w:t>Want,</w:t>
            </w:r>
            <w:r>
              <w:rPr>
                <w:sz w:val="20"/>
                <w:szCs w:val="20"/>
              </w:rPr>
              <w:t xml:space="preserve"> and</w:t>
            </w:r>
            <w:proofErr w:type="gramEnd"/>
            <w:r>
              <w:rPr>
                <w:sz w:val="20"/>
                <w:szCs w:val="20"/>
              </w:rPr>
              <w:t xml:space="preserve"> required readings. </w:t>
            </w:r>
          </w:p>
          <w:p w14:paraId="2270C566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5B519A58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(word choice, sentence structure, flow of information etc.) is precise and straightforward, attending to:</w:t>
            </w:r>
          </w:p>
          <w:p w14:paraId="649AF5F6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Concision</w:t>
            </w:r>
          </w:p>
          <w:p w14:paraId="27DACFF6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</w:t>
            </w:r>
          </w:p>
          <w:p w14:paraId="1068D1EF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Brevity</w:t>
            </w:r>
          </w:p>
          <w:p w14:paraId="204A6ED4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tone</w:t>
            </w:r>
          </w:p>
          <w:p w14:paraId="628A8CE9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</w:t>
            </w:r>
          </w:p>
          <w:p w14:paraId="62956139" w14:textId="7CA3AC38" w:rsidR="00C65675" w:rsidRDefault="00C65675" w:rsidP="00E1272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7BFBFD2" w14:textId="31C6436A" w:rsidR="00C22CA8" w:rsidRDefault="00582883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5E57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71DF2FD4">
        <w:trPr>
          <w:trHeight w:val="2680"/>
        </w:trPr>
        <w:tc>
          <w:tcPr>
            <w:tcW w:w="1485" w:type="dxa"/>
          </w:tcPr>
          <w:p w14:paraId="1369948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7EAE710D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accordance with the BLUF style, the first sentence (i.e., the BLUF sentence) should be bolded.</w:t>
            </w:r>
          </w:p>
          <w:p w14:paraId="0533FD02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367DDDD0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should be between 2.5-3 pages</w:t>
            </w:r>
          </w:p>
          <w:p w14:paraId="15B35539" w14:textId="07BDF70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, and page numbers</w:t>
            </w:r>
            <w:r>
              <w:rPr>
                <w:sz w:val="20"/>
                <w:szCs w:val="20"/>
              </w:rPr>
              <w:t xml:space="preserve"> in correct format </w:t>
            </w:r>
          </w:p>
          <w:p w14:paraId="755FCAC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76F3BE10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7FCF5070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in prompt.</w:t>
            </w:r>
          </w:p>
          <w:p w14:paraId="4F4DD6C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</w:p>
          <w:p w14:paraId="7835F831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 course slides as (19p280 Terrorism, slide ##) </w:t>
            </w:r>
          </w:p>
          <w:p w14:paraId="497F76D2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 </w:t>
            </w:r>
            <w:r>
              <w:rPr>
                <w:i/>
                <w:sz w:val="20"/>
                <w:szCs w:val="20"/>
              </w:rPr>
              <w:t>What Terrorists Want</w:t>
            </w:r>
            <w:r>
              <w:rPr>
                <w:sz w:val="20"/>
                <w:szCs w:val="20"/>
              </w:rPr>
              <w:t xml:space="preserve"> as (Richardson, page ##)</w:t>
            </w:r>
          </w:p>
          <w:p w14:paraId="39FE3C6B" w14:textId="77777777" w:rsidR="00582883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APA for any other sources</w:t>
            </w:r>
          </w:p>
          <w:p w14:paraId="116CB4E6" w14:textId="77777777" w:rsidR="00C22CA8" w:rsidRDefault="00582883" w:rsidP="005828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bibliography included</w:t>
            </w:r>
          </w:p>
          <w:p w14:paraId="4D88C17B" w14:textId="2A837D5A" w:rsidR="008A4D54" w:rsidRDefault="008A4D54" w:rsidP="00582883">
            <w:pPr>
              <w:spacing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0" w:type="dxa"/>
          </w:tcPr>
          <w:p w14:paraId="127374BC" w14:textId="145AAB3E" w:rsidR="00C22CA8" w:rsidRDefault="0055227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6C96">
              <w:rPr>
                <w:sz w:val="20"/>
                <w:szCs w:val="20"/>
              </w:rPr>
              <w:t>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3328E3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0EA6838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5BACF16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4B6CE93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71DF2FD4">
        <w:tc>
          <w:tcPr>
            <w:tcW w:w="1485" w:type="dxa"/>
          </w:tcPr>
          <w:p w14:paraId="2F6A3ADC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36972D5" w14:textId="1397600D" w:rsidR="00C22CA8" w:rsidRDefault="000533DD" w:rsidP="008F17B7">
            <w:pPr>
              <w:spacing w:line="240" w:lineRule="auto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 xml:space="preserve">Grammar and mechanics are </w:t>
            </w:r>
            <w:r w:rsidR="00A553AD">
              <w:rPr>
                <w:sz w:val="20"/>
                <w:szCs w:val="20"/>
              </w:rPr>
              <w:t>edited for correctness and legibility.</w:t>
            </w:r>
            <w:r w:rsidR="00392831">
              <w:rPr>
                <w:sz w:val="20"/>
                <w:szCs w:val="20"/>
              </w:rPr>
              <w:t xml:space="preserve"> </w:t>
            </w:r>
          </w:p>
          <w:p w14:paraId="1960CD6F" w14:textId="737A46C9" w:rsidR="00B4504D" w:rsidRDefault="00F04890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Perfect polish is not necessary in a first draft, but </w:t>
            </w:r>
            <w:r w:rsidR="00867FEC">
              <w:rPr>
                <w:sz w:val="20"/>
                <w:szCs w:val="20"/>
              </w:rPr>
              <w:t>out of respect for your reader,</w:t>
            </w:r>
            <w:r w:rsidR="00DB50CA">
              <w:rPr>
                <w:sz w:val="20"/>
                <w:szCs w:val="20"/>
              </w:rPr>
              <w:t xml:space="preserve"> you should make some effort to make the draft an easy read.</w:t>
            </w:r>
          </w:p>
        </w:tc>
        <w:tc>
          <w:tcPr>
            <w:tcW w:w="800" w:type="dxa"/>
          </w:tcPr>
          <w:p w14:paraId="2A941490" w14:textId="60A55A1C" w:rsidR="00C22CA8" w:rsidRDefault="00F941F2" w:rsidP="005828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0DE5A9F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3CE0A50" w14:textId="427ED564" w:rsidR="00C22CA8" w:rsidRPr="00582883" w:rsidRDefault="00366C96" w:rsidP="005828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71DF2FD4">
        <w:tc>
          <w:tcPr>
            <w:tcW w:w="1485" w:type="dxa"/>
          </w:tcPr>
          <w:p w14:paraId="2381F5E0" w14:textId="744F1737" w:rsidR="00B04121" w:rsidRDefault="006D0E4D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Thoughtful peer response</w:t>
            </w:r>
          </w:p>
        </w:tc>
        <w:tc>
          <w:tcPr>
            <w:tcW w:w="6435" w:type="dxa"/>
          </w:tcPr>
          <w:p w14:paraId="4BC24626" w14:textId="77777777" w:rsidR="00B04121" w:rsidRDefault="00B04121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770A0D59" w14:textId="24D62069" w:rsidR="00B04121" w:rsidRDefault="00E1272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883">
              <w:rPr>
                <w:sz w:val="20"/>
                <w:szCs w:val="20"/>
              </w:rPr>
              <w:t>0</w:t>
            </w:r>
            <w:r w:rsidR="00BE5E57">
              <w:rPr>
                <w:sz w:val="20"/>
                <w:szCs w:val="20"/>
              </w:rPr>
              <w:t>%</w:t>
            </w:r>
          </w:p>
        </w:tc>
        <w:tc>
          <w:tcPr>
            <w:tcW w:w="5656" w:type="dxa"/>
          </w:tcPr>
          <w:p w14:paraId="57AEFE99" w14:textId="215F9CD0" w:rsidR="00B04121" w:rsidRPr="00E1272C" w:rsidRDefault="004F2986" w:rsidP="008F17B7">
            <w:pPr>
              <w:spacing w:line="240" w:lineRule="auto"/>
              <w:rPr>
                <w:b/>
                <w:sz w:val="20"/>
                <w:szCs w:val="20"/>
              </w:rPr>
            </w:pPr>
            <w:r w:rsidRPr="00E1272C">
              <w:rPr>
                <w:b/>
                <w:sz w:val="20"/>
                <w:szCs w:val="20"/>
              </w:rPr>
              <w:t xml:space="preserve">Note: </w:t>
            </w:r>
            <w:r w:rsidR="00DB50CA" w:rsidRPr="00E1272C">
              <w:rPr>
                <w:b/>
                <w:sz w:val="20"/>
                <w:szCs w:val="20"/>
              </w:rPr>
              <w:t>The score marked by your TA</w:t>
            </w:r>
            <w:r w:rsidR="00D315CF" w:rsidRPr="00E1272C">
              <w:rPr>
                <w:b/>
                <w:sz w:val="20"/>
                <w:szCs w:val="20"/>
              </w:rPr>
              <w:t xml:space="preserve"> does not yet include these points.</w:t>
            </w:r>
          </w:p>
        </w:tc>
      </w:tr>
      <w:tr w:rsidR="00C22CA8" w14:paraId="3CEE7401" w14:textId="77777777" w:rsidTr="71DF2FD4">
        <w:tc>
          <w:tcPr>
            <w:tcW w:w="14376" w:type="dxa"/>
            <w:gridSpan w:val="4"/>
          </w:tcPr>
          <w:p w14:paraId="42D1DEFD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6C9408EB" w14:textId="77777777" w:rsidR="00C22CA8" w:rsidRDefault="00C22CA8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25E79CAB" w14:textId="65F38F6E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4BD250AB" w14:textId="77777777" w:rsidR="008A4D54" w:rsidRDefault="008A4D54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7A76DC4D" w14:textId="06271F47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8ED501E" w14:textId="3727A914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286EF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C7707"/>
    <w:multiLevelType w:val="multilevel"/>
    <w:tmpl w:val="372C0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8244D"/>
    <w:rsid w:val="001D3C21"/>
    <w:rsid w:val="001E24E9"/>
    <w:rsid w:val="001E4CB2"/>
    <w:rsid w:val="002063E7"/>
    <w:rsid w:val="00237027"/>
    <w:rsid w:val="00250C04"/>
    <w:rsid w:val="00286EFC"/>
    <w:rsid w:val="002D2BCB"/>
    <w:rsid w:val="00366C96"/>
    <w:rsid w:val="00392831"/>
    <w:rsid w:val="00445BF3"/>
    <w:rsid w:val="00461F2B"/>
    <w:rsid w:val="00471EC2"/>
    <w:rsid w:val="00497605"/>
    <w:rsid w:val="004F2986"/>
    <w:rsid w:val="00552278"/>
    <w:rsid w:val="00582883"/>
    <w:rsid w:val="005843D3"/>
    <w:rsid w:val="005B2D0E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FEC"/>
    <w:rsid w:val="008A2032"/>
    <w:rsid w:val="008A4D54"/>
    <w:rsid w:val="008F17B7"/>
    <w:rsid w:val="00912076"/>
    <w:rsid w:val="009837B4"/>
    <w:rsid w:val="009D6476"/>
    <w:rsid w:val="009F49AA"/>
    <w:rsid w:val="00A553AD"/>
    <w:rsid w:val="00A83450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523C0"/>
    <w:rsid w:val="00C52F5F"/>
    <w:rsid w:val="00C65675"/>
    <w:rsid w:val="00C731A4"/>
    <w:rsid w:val="00C95F84"/>
    <w:rsid w:val="00CE4D23"/>
    <w:rsid w:val="00D01BE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1272C"/>
    <w:rsid w:val="00E33D8D"/>
    <w:rsid w:val="00E65427"/>
    <w:rsid w:val="00E80D39"/>
    <w:rsid w:val="00E87575"/>
    <w:rsid w:val="00EA34DF"/>
    <w:rsid w:val="00EA4FE0"/>
    <w:rsid w:val="00F04890"/>
    <w:rsid w:val="00F06E85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3</cp:revision>
  <cp:lastPrinted>2019-02-14T22:10:00Z</cp:lastPrinted>
  <dcterms:created xsi:type="dcterms:W3CDTF">2019-03-25T22:21:00Z</dcterms:created>
  <dcterms:modified xsi:type="dcterms:W3CDTF">2019-03-25T22:26:00Z</dcterms:modified>
</cp:coreProperties>
</file>