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1900" w:after="300"/>
        <w:contextualSpacing/>
        <w:jc w:val="center"/>
        <w:rPr/>
      </w:pPr>
      <w:r>
        <w:rPr/>
        <w:t>ECE 486 Final Project</w:t>
      </w:r>
    </w:p>
    <w:p>
      <w:pPr>
        <w:pStyle w:val="Subtitle"/>
        <w:jc w:val="center"/>
        <w:rPr/>
      </w:pPr>
      <w:r>
        <w:rPr/>
        <w:t>The Reaction Wheel Pendulum</w:t>
      </w:r>
    </w:p>
    <w:p>
      <w:pPr>
        <w:pStyle w:val="Normal"/>
        <w:spacing w:before="500" w:after="60"/>
        <w:jc w:val="center"/>
        <w:rPr/>
      </w:pPr>
      <w:r>
        <w:rPr/>
        <w:t>Numbered Report Questions and Results Template</w:t>
      </w:r>
    </w:p>
    <w:p>
      <w:pPr>
        <w:pStyle w:val="Normal"/>
        <w:spacing w:lineRule="auto" w:line="240" w:before="0" w:after="80"/>
        <w:jc w:val="center"/>
        <w:rPr/>
      </w:pPr>
      <w:r>
        <w:rPr>
          <w:b/>
        </w:rPr>
        <w:t xml:space="preserve">Name: </w:t>
      </w:r>
      <w:r>
        <w:rPr/>
        <w:t>[Enter name]</w:t>
      </w:r>
    </w:p>
    <w:p>
      <w:pPr>
        <w:pStyle w:val="Normal"/>
        <w:spacing w:lineRule="auto" w:line="240" w:before="0" w:after="80"/>
        <w:jc w:val="center"/>
        <w:rPr/>
      </w:pPr>
      <w:r>
        <w:rPr>
          <w:b/>
        </w:rPr>
        <w:t xml:space="preserve">Project partner: </w:t>
      </w:r>
      <w:r>
        <w:rPr/>
        <w:t>[Enter partner or None]</w:t>
      </w:r>
    </w:p>
    <w:p>
      <w:pPr>
        <w:pStyle w:val="Normal"/>
        <w:spacing w:lineRule="auto" w:line="240" w:before="0" w:after="80"/>
        <w:jc w:val="center"/>
        <w:rPr/>
      </w:pPr>
      <w:r>
        <w:rPr>
          <w:b/>
        </w:rPr>
        <w:t xml:space="preserve">Lab TA: </w:t>
      </w:r>
      <w:r>
        <w:rPr/>
        <w:t>[Enter TA]</w:t>
      </w:r>
    </w:p>
    <w:p>
      <w:pPr>
        <w:pStyle w:val="Normal"/>
        <w:spacing w:lineRule="auto" w:line="240" w:before="0" w:after="80"/>
        <w:jc w:val="center"/>
        <w:rPr/>
      </w:pPr>
      <w:r>
        <w:rPr>
          <w:b/>
        </w:rPr>
        <w:t xml:space="preserve">Section: </w:t>
      </w:r>
      <w:r>
        <w:rPr/>
        <w:t>[Enter section]</w:t>
      </w:r>
    </w:p>
    <w:p>
      <w:pPr>
        <w:pStyle w:val="Normal"/>
        <w:spacing w:lineRule="auto" w:line="240" w:before="0" w:after="80"/>
        <w:jc w:val="center"/>
        <w:rPr/>
      </w:pPr>
      <w:r>
        <w:rPr>
          <w:b/>
        </w:rPr>
        <w:t xml:space="preserve">RWP number: </w:t>
      </w:r>
      <w:r>
        <w:rPr/>
        <w:t>[Enter number painted on base]</w:t>
      </w:r>
    </w:p>
    <w:p>
      <w:pPr>
        <w:pStyle w:val="Normal"/>
        <w:spacing w:lineRule="auto" w:line="240" w:before="0" w:after="80"/>
        <w:jc w:val="center"/>
        <w:rPr/>
      </w:pPr>
      <w:r>
        <w:rPr>
          <w:b/>
        </w:rPr>
        <w:t xml:space="preserve">Date: </w:t>
      </w:r>
      <w:r>
        <w:rPr/>
        <w:t>[Enter date]</w:t>
      </w:r>
    </w:p>
    <w:p>
      <w:pPr>
        <w:pStyle w:val="Normal"/>
        <w:rPr/>
      </w:pPr>
      <w:r>
        <w:rPr/>
      </w:r>
      <w:r>
        <w:br w:type="page"/>
      </w:r>
    </w:p>
    <w:p>
      <w:pPr>
        <w:pStyle w:val="Heading1"/>
        <w:spacing w:before="0" w:after="80"/>
        <w:rPr/>
      </w:pPr>
      <w:r>
        <w:rPr/>
        <w:t>How to Use This Report Template</w:t>
      </w:r>
    </w:p>
    <w:p>
      <w:pPr>
        <w:pStyle w:val="Prompt"/>
        <w:rPr/>
      </w:pPr>
      <w:r>
        <w:t>This document is completed after the laboratory work and is submitted as one formal report per group. Use the numbered tables and prompts to organize required evidence, but write the report as a coherent document rather than as isolated answers. The posted Spring 2026 report guidelines require Times New Roman 11-point student-entered report text and page numbers, and indicate that the necessary material should normally be stated concisely in about 5–7 pages, excluding the cover page.</w:t>
      </w:r>
    </w:p>
    <w:p>
      <w:pPr>
        <w:pStyle w:val="Normal"/>
        <w:spacing w:lineRule="auto" w:line="240" w:before="0" w:after="40"/>
        <w:ind w:hanging="317" w:start="346"/>
        <w:rPr/>
      </w:pPr>
      <w:r>
        <w:rPr/>
        <w:t xml:space="preserve">☐ </w:t>
      </w:r>
      <w:r>
        <w:rPr/>
        <w:t>Show the calculations and design choices needed to support every reported result.</w:t>
      </w:r>
    </w:p>
    <w:p>
      <w:pPr>
        <w:pStyle w:val="Normal"/>
        <w:spacing w:lineRule="auto" w:line="240" w:before="0" w:after="40"/>
        <w:ind w:hanging="317" w:start="346"/>
        <w:rPr/>
      </w:pPr>
      <w:r>
        <w:rPr/>
        <w:t xml:space="preserve">☐ </w:t>
      </w:r>
      <w:r>
        <w:rPr/>
        <w:t>Complete every table and refer to it explicitly in the corresponding numbered discussion.</w:t>
      </w:r>
    </w:p>
    <w:p>
      <w:pPr>
        <w:pStyle w:val="Normal"/>
        <w:spacing w:lineRule="auto" w:line="240" w:before="0" w:after="40"/>
        <w:ind w:hanging="317" w:start="346"/>
        <w:rPr/>
      </w:pPr>
      <w:r>
        <w:t>☐ Keep the required closed-loop stability proof and observer-convergence proof in the relevant report sections. Place MATLAB code, complete Simulink diagrams, and supporting full-size plots in appendices and cite them from the main text.</w:t>
      </w:r>
    </w:p>
    <w:p>
      <w:pPr>
        <w:pStyle w:val="Normal"/>
        <w:spacing w:lineRule="auto" w:line="240" w:before="0" w:after="40"/>
        <w:ind w:hanging="317" w:start="346"/>
        <w:rPr/>
      </w:pPr>
      <w:r>
        <w:t>☐ Write complete explanatory paragraphs with transitions between sections. Label or caption every equation, figure, and table that is referenced in the report.</w:t>
      </w:r>
    </w:p>
    <w:p>
      <w:pPr>
        <w:pStyle w:val="Normal"/>
      </w:pPr>
      <w:r>
        <w:t>☐ Include the complete Simulink diagram printouts in the report appendix and reference them from the corresponding discussion.</w:t>
      </w:r>
    </w:p>
    <w:p>
      <w:pPr>
        <w:pStyle w:val="Normal"/>
      </w:pPr>
      <w:r>
        <w:t>☐ The numbered questions are not separate point categories by themselves; they supply the calculations, data, simulations, and experimental evidence used in the 130-point report rubric in Table C2.</w:t>
      </w:r>
    </w:p>
    <w:p>
      <w:pPr>
        <w:pStyle w:val="Normal"/>
        <w:rPr/>
      </w:pPr>
      <w:r>
        <w:rPr/>
      </w:r>
      <w:r>
        <w:br w:type="page"/>
      </w:r>
    </w:p>
    <w:p>
      <w:pPr>
        <w:pStyle w:val="Heading1"/>
        <w:spacing w:before="0" w:after="80"/>
        <w:rPr/>
      </w:pPr>
      <w:r>
        <w:rPr/>
        <w:t>Numbered Report Questions, Required Tables, and Discussion</w:t>
      </w:r>
    </w:p>
    <w:p>
      <w:pPr>
        <w:pStyle w:val="Heading2"/>
      </w:pPr>
      <w:r>
        <w:t>Report Introduction — 10 points</w:t>
      </w:r>
    </w:p>
    <w:p>
      <w:pPr>
        <w:pStyle w:val="Prompt"/>
      </w:pPr>
      <w:r>
        <w:t>Introduce the Reaction Wheel Pendulum and give the system information required by the posted final-project report rubric.</w:t>
      </w:r>
    </w:p>
    <w:p>
      <w:pPr>
        <w:pStyle w:val="ListBullet"/>
      </w:pPr>
      <w:r>
        <w:t>Identify the sensors used and state how many are used. (3 points)</w:t>
      </w:r>
    </w:p>
    <w:p>
      <w:pPr>
        <w:pStyle w:val="ListBullet"/>
      </w:pPr>
      <w:r>
        <w:t>Identify the actuator used and state how many are used. (3 points)</w:t>
      </w:r>
    </w:p>
    <w:p>
      <w:pPr>
        <w:pStyle w:val="ListBullet"/>
      </w:pPr>
      <w:r>
        <w:t>Identify the relevant equilibrium positions and state which are stable and unstable configurations. (3 points)</w:t>
      </w:r>
    </w:p>
    <w:p>
      <w:pPr>
        <w:pStyle w:val="ListBullet"/>
      </w:pPr>
      <w:r>
        <w:t>State the program/environment used to implement the controllers on the RWP. (1 point)</w:t>
      </w:r>
    </w:p>
    <w:p>
      <w:pPr>
        <w:pStyle w:val="ResponsePlaceholder"/>
      </w:pPr>
      <w:r>
        <w:t>Introduction:</w:t>
      </w:r>
    </w:p>
    <w:p>
      <w:pPr>
        <w:pStyle w:val="Heading2"/>
        <w:rPr/>
      </w:pPr>
      <w:r>
        <w:rPr/>
        <w:t>1-1: Kinetic and Potential Energy</w:t>
      </w:r>
    </w:p>
    <w:p>
      <w:pPr>
        <w:pStyle w:val="Prompt"/>
        <w:rPr/>
      </w:pPr>
      <w:r>
        <w:rPr/>
        <w:t>Present the RWP energy model and use it to establish the generalized coordinates used in the report.</w:t>
      </w:r>
    </w:p>
    <w:p>
      <w:pPr>
        <w:pStyle w:val="ListBullet"/>
        <w:numPr>
          <w:ilvl w:val="0"/>
          <w:numId w:val="2"/>
        </w:numPr>
        <w:spacing w:lineRule="auto" w:line="240" w:before="0" w:after="40"/>
        <w:contextualSpacing/>
        <w:rPr/>
      </w:pPr>
      <w:r>
        <w:rPr/>
        <w:t>Enter the number of degrees of freedom and identify the generalized coordinates and their time derivatives.</w:t>
      </w:r>
    </w:p>
    <w:p>
      <w:pPr>
        <w:pStyle w:val="ListBullet"/>
        <w:numPr>
          <w:ilvl w:val="0"/>
          <w:numId w:val="2"/>
        </w:numPr>
        <w:spacing w:lineRule="auto" w:line="240" w:before="0" w:after="40"/>
        <w:contextualSpacing/>
        <w:rPr/>
      </w:pPr>
      <w:r>
        <w:rPr/>
        <w:t>Derive the total kinetic energy by adding the pendulum and reaction-wheel contributions.</w:t>
      </w:r>
    </w:p>
    <w:p>
      <w:pPr>
        <w:pStyle w:val="ListBullet"/>
        <w:numPr>
          <w:ilvl w:val="0"/>
          <w:numId w:val="2"/>
        </w:numPr>
        <w:spacing w:lineRule="auto" w:line="240" w:before="0" w:after="40"/>
        <w:contextualSpacing/>
        <w:rPr/>
      </w:pPr>
      <w:r>
        <w:rPr/>
        <w:t>Derive the gravitational potential energy using the selected angle convention.</w:t>
      </w:r>
    </w:p>
    <w:p>
      <w:pPr>
        <w:pStyle w:val="ListBullet"/>
        <w:numPr>
          <w:ilvl w:val="0"/>
          <w:numId w:val="2"/>
        </w:numPr>
        <w:spacing w:lineRule="auto" w:line="240" w:before="0" w:after="40"/>
        <w:contextualSpacing/>
        <w:rPr/>
      </w:pPr>
      <w:r>
        <w:rPr/>
        <w:t>Define every mass, length, and inertia symbol and explain the physical meaning of each term.</w:t>
      </w:r>
    </w:p>
    <w:p>
      <w:pPr>
        <w:pStyle w:val="Normal"/>
        <w:rPr/>
      </w:pPr>
      <w:r>
        <w:rPr>
          <w:b/>
        </w:rPr>
        <w:t xml:space="preserve">Degrees of freedom: </w:t>
      </w:r>
      <w:r>
        <w:rPr/>
        <w:t>[Enter]</w:t>
      </w:r>
    </w:p>
    <w:p>
      <w:pPr>
        <w:pStyle w:val="Normal"/>
        <w:rPr/>
      </w:pPr>
      <w:r>
        <w:rPr>
          <w:b/>
        </w:rPr>
        <w:t xml:space="preserve">Generalized coordinates: </w:t>
      </w:r>
      <w:r>
        <w:rPr>
          <w:b w:val="false"/>
          <w:i w:val="false"/>
        </w:rPr>
        <w:t>θ</w:t>
      </w:r>
      <w:r>
        <w:rPr>
          <w:b w:val="false"/>
          <w:i w:val="false"/>
          <w:vertAlign w:val="subscript"/>
        </w:rPr>
        <w:t>p</w:t>
      </w:r>
      <w:r>
        <w:rPr>
          <w:b w:val="false"/>
          <w:i w:val="false"/>
        </w:rPr>
        <w:t xml:space="preserve"> = [Enter], θ</w:t>
      </w:r>
      <w:r>
        <w:rPr>
          <w:b w:val="false"/>
          <w:i w:val="false"/>
          <w:vertAlign w:val="subscript"/>
        </w:rPr>
        <w:t>r</w:t>
      </w:r>
      <w:r>
        <w:rPr>
          <w:b w:val="false"/>
          <w:i w:val="false"/>
        </w:rPr>
        <w:t xml:space="preserve"> = [Enter]</w:t>
      </w:r>
    </w:p>
    <w:p>
      <w:pPr>
        <w:pStyle w:val="Normal"/>
        <w:rPr/>
      </w:pPr>
      <w:r>
        <w:rPr>
          <w:b/>
        </w:rPr>
        <w:t xml:space="preserve">Kinetic energy: </w:t>
      </w:r>
      <w:r>
        <w:rPr/>
        <w:t>[Enter complete derivation]</w:t>
      </w:r>
    </w:p>
    <w:p>
      <w:pPr>
        <w:pStyle w:val="Normal"/>
        <w:rPr/>
      </w:pPr>
      <w:r>
        <w:rPr>
          <w:b/>
        </w:rPr>
        <w:t xml:space="preserve">Potential energy: </w:t>
      </w:r>
      <w:r>
        <w:rPr/>
        <w:t>[Enter complete derivation]</w:t>
      </w:r>
    </w:p>
    <w:p>
      <w:pPr>
        <w:pStyle w:val="ResponsePlaceholder"/>
        <w:rPr/>
      </w:pPr>
      <w:r>
        <w:rPr/>
        <w:t>Report discussion: interpret the energy model and relate it to the RWP coordinates.</w:t>
      </w:r>
    </w:p>
    <w:p>
      <w:pPr>
        <w:pStyle w:val="Heading2"/>
        <w:rPr/>
      </w:pPr>
      <w:r>
        <w:rPr/>
        <w:t>1-2: Lagrange Equations and Equations of Motion</w:t>
      </w:r>
    </w:p>
    <w:p>
      <w:pPr>
        <w:pStyle w:val="Prompt"/>
        <w:rPr/>
      </w:pPr>
      <w:r>
        <w:rPr/>
        <w:t>Derive the nonlinear equations of motion from the energy expressions in Question 1-1.</w:t>
      </w:r>
    </w:p>
    <w:p>
      <w:pPr>
        <w:pStyle w:val="ListBullet"/>
        <w:numPr>
          <w:ilvl w:val="0"/>
          <w:numId w:val="2"/>
        </w:numPr>
        <w:spacing w:lineRule="auto" w:line="240" w:before="0" w:after="40"/>
        <w:contextualSpacing/>
        <w:rPr/>
      </w:pPr>
      <w:r>
        <w:rPr/>
        <w:t>Write the Lagrangian and the Lagrange equation for each generalized coordinate.</w:t>
      </w:r>
    </w:p>
    <w:p>
      <w:pPr>
        <w:pStyle w:val="ListBullet"/>
        <w:numPr>
          <w:ilvl w:val="0"/>
          <w:numId w:val="2"/>
        </w:numPr>
        <w:spacing w:lineRule="auto" w:line="240" w:before="0" w:after="40"/>
        <w:contextualSpacing/>
        <w:rPr/>
      </w:pPr>
      <w:r>
        <w:rPr/>
        <w:t>Show the generalized motor torques and their equal-and-opposite signs on the pendulum and rotor.</w:t>
      </w:r>
    </w:p>
    <w:p>
      <w:pPr>
        <w:pStyle w:val="ListBullet"/>
        <w:numPr>
          <w:ilvl w:val="0"/>
          <w:numId w:val="2"/>
        </w:numPr>
        <w:spacing w:lineRule="auto" w:line="240" w:before="0" w:after="40"/>
        <w:contextualSpacing/>
        <w:rPr/>
      </w:pPr>
      <w:r>
        <w:rPr/>
        <w:t>Present the final coupled equations in the grouped-parameter form used later in the project.</w:t>
      </w:r>
    </w:p>
    <w:p>
      <w:pPr>
        <w:pStyle w:val="ListBullet"/>
        <w:numPr>
          <w:ilvl w:val="0"/>
          <w:numId w:val="2"/>
        </w:numPr>
        <w:spacing w:lineRule="auto" w:line="240" w:before="0" w:after="40"/>
        <w:contextualSpacing/>
        <w:rPr/>
      </w:pPr>
      <w:r>
        <w:rPr/>
        <w:t>State the sign convention and define all grouped parameters.</w:t>
      </w:r>
    </w:p>
    <w:p>
      <w:pPr>
        <w:pStyle w:val="ResponsePlaceholder"/>
        <w:rPr/>
      </w:pPr>
      <w:r>
        <w:rPr/>
        <w:t>Derivation for the pendulum coordinate:</w:t>
      </w:r>
    </w:p>
    <w:p>
      <w:pPr>
        <w:pStyle w:val="ResponsePlaceholder"/>
        <w:rPr/>
      </w:pPr>
      <w:r>
        <w:rPr/>
        <w:t>Derivation for the rotor coordinate:</w:t>
      </w:r>
    </w:p>
    <w:p>
      <w:pPr>
        <w:pStyle w:val="ResponsePlaceholder"/>
        <w:rPr/>
      </w:pPr>
      <w:r>
        <w:rPr/>
        <w:t>Final equations of motion and parameter definitions:</w:t>
      </w:r>
    </w:p>
    <w:p>
      <w:pPr>
        <w:pStyle w:val="Heading2"/>
        <w:rPr/>
      </w:pPr>
      <w:r>
        <w:rPr/>
        <w:t>2-1: Proportional Velocity Control</w:t>
      </w:r>
    </w:p>
    <w:p>
      <w:pPr>
        <w:pStyle w:val="Prompt"/>
        <w:rPr/>
      </w:pPr>
      <w:r>
        <w:rPr/>
        <w:t>Report the proportional-controller design and compare the calculated frictionless response with simulation.</w:t>
      </w:r>
    </w:p>
    <w:p>
      <w:pPr>
        <w:pStyle w:val="ListBullet"/>
        <w:numPr>
          <w:ilvl w:val="0"/>
          <w:numId w:val="2"/>
        </w:numPr>
        <w:spacing w:lineRule="auto" w:line="240" w:before="0" w:after="40"/>
        <w:contextualSpacing/>
        <w:rPr/>
      </w:pPr>
      <w:r>
        <w:rPr/>
        <w:t>Complete Table A1 using the selected gain, predicted pole, predicted rise time, and simulated response.</w:t>
      </w:r>
    </w:p>
    <w:p>
      <w:pPr>
        <w:pStyle w:val="ListBullet"/>
        <w:numPr>
          <w:ilvl w:val="0"/>
          <w:numId w:val="2"/>
        </w:numPr>
        <w:spacing w:lineRule="auto" w:line="240" w:before="0" w:after="40"/>
        <w:contextualSpacing/>
        <w:rPr/>
      </w:pPr>
      <w:r>
        <w:rPr/>
        <w:t>Show the closed-loop transfer function and the calculation used to choose the proportional gain.</w:t>
      </w:r>
    </w:p>
    <w:p>
      <w:pPr>
        <w:pStyle w:val="ListBullet"/>
        <w:numPr>
          <w:ilvl w:val="0"/>
          <w:numId w:val="2"/>
        </w:numPr>
        <w:spacing w:lineRule="auto" w:line="240" w:before="0" w:after="40"/>
        <w:contextualSpacing/>
        <w:rPr/>
      </w:pPr>
      <w:r>
        <w:rPr/>
        <w:t>Compare calculated and simulated rise time and steady-state error.</w:t>
      </w:r>
    </w:p>
    <w:p>
      <w:pPr>
        <w:pStyle w:val="ListBullet"/>
        <w:numPr>
          <w:ilvl w:val="0"/>
          <w:numId w:val="2"/>
        </w:numPr>
        <w:spacing w:lineRule="auto" w:line="240" w:before="0" w:after="40"/>
        <w:contextualSpacing/>
        <w:rPr/>
      </w:pPr>
      <w:r>
        <w:rPr/>
        <w:t>Explain why the ideal frictionless result does not fully predict the physical motor response.</w:t>
      </w:r>
    </w:p>
    <w:tbl>
      <w:tblPr>
        <w:tblW w:w="9994" w:type="dxa"/>
        <w:jc w:val="center"/>
        <w:tblInd w:w="0" w:type="dxa"/>
        <w:tblLayout w:type="fixed"/>
        <w:tblCellMar>
          <w:top w:w="55" w:type="dxa"/>
          <w:start w:w="55" w:type="dxa"/>
          <w:bottom w:w="55" w:type="dxa"/>
          <w:end w:w="55" w:type="dxa"/>
        </w:tblCellMar>
      </w:tblPr>
      <w:tblGrid>
        <w:gridCol w:w="4997"/>
        <w:gridCol w:w="4997"/>
      </w:tblGrid>
      <w:tr>
        <w:trPr>
          <w:tblHeader w:val="true"/>
          <w:cantSplit w:val="true"/>
        </w:trPr>
        <w:tc>
          <w:tcPr>
            <w:tcW w:w="4997"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Design item</w:t>
            </w:r>
          </w:p>
        </w:tc>
        <w:tc>
          <w:tcPr>
            <w:tcW w:w="4997"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Value or result</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Reference speed</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8"/>
                <w:szCs w:val="22"/>
                <w:lang w:bidi="ar-SA"/>
              </w:rPr>
            </w:pPr>
            <w:r>
              <w:rPr>
                <w:rFonts w:eastAsia="Arial"/>
                <w:kern w:val="0"/>
                <w:sz w:val="18"/>
                <w:szCs w:val="22"/>
                <w:lang w:bidi="ar-SA"/>
              </w:rPr>
              <w:t>100 rad/s</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Specified rise time</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8"/>
                <w:szCs w:val="22"/>
                <w:lang w:bidi="ar-SA"/>
              </w:rPr>
            </w:pPr>
            <w:r>
              <w:rPr>
                <w:rFonts w:eastAsia="Arial"/>
                <w:kern w:val="0"/>
                <w:sz w:val="18"/>
                <w:szCs w:val="22"/>
                <w:lang w:bidi="ar-SA"/>
              </w:rPr>
              <w:t>0.2 s</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8"/>
                <w:szCs w:val="22"/>
                <w:lang w:bidi="ar-SA"/>
              </w:rPr>
              <w:t>Assumed b</w:t>
            </w:r>
            <w:r>
              <w:rPr>
                <w:rFonts w:eastAsia="Arial"/>
                <w:b/>
                <w:kern w:val="0"/>
                <w:sz w:val="18"/>
                <w:szCs w:val="22"/>
                <w:vertAlign w:val="subscript"/>
                <w:lang w:bidi="ar-SA"/>
              </w:rPr>
              <w:t>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8"/>
                <w:szCs w:val="22"/>
                <w:lang w:bidi="ar-SA"/>
              </w:rPr>
            </w:pPr>
            <w:r>
              <w:rPr>
                <w:rFonts w:eastAsia="Arial"/>
                <w:kern w:val="0"/>
                <w:sz w:val="18"/>
                <w:szCs w:val="22"/>
                <w:lang w:bidi="ar-SA"/>
              </w:rPr>
              <w:t>198</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Selected proportional gain K</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Predicted rise time</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Simulated rise time and steady-state error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A1. Question 2-1 proportional-controller design.</w:t>
      </w:r>
    </w:p>
    <w:p>
      <w:pPr>
        <w:pStyle w:val="ResponsePlaceholder"/>
        <w:rPr/>
      </w:pPr>
      <w:r>
        <w:rPr/>
        <w:t>Calculation, comparison, and discussion:</w:t>
      </w:r>
    </w:p>
    <w:p>
      <w:pPr>
        <w:pStyle w:val="Heading2"/>
        <w:rPr/>
      </w:pPr>
      <w:r>
        <w:rPr/>
        <w:t>2-2: Physical Implementation and Velocity Estimation</w:t>
      </w:r>
    </w:p>
    <w:p>
      <w:pPr>
        <w:pStyle w:val="Prompt"/>
        <w:rPr/>
      </w:pPr>
      <w:r>
        <w:rPr/>
        <w:t>Use the data already collected in the laboratory to compare the physical controller with the simulation and to evaluate both velocity estimates.</w:t>
      </w:r>
    </w:p>
    <w:p>
      <w:pPr>
        <w:pStyle w:val="ListBullet"/>
        <w:numPr>
          <w:ilvl w:val="0"/>
          <w:numId w:val="2"/>
        </w:numPr>
        <w:spacing w:lineRule="auto" w:line="240" w:before="0" w:after="40"/>
        <w:contextualSpacing/>
        <w:rPr/>
      </w:pPr>
      <w:r>
        <w:rPr/>
        <w:t>Complete Table A2 for the simulation, discrete velocity estimate, and continuous filtered-derivative estimate.</w:t>
      </w:r>
    </w:p>
    <w:p>
      <w:pPr>
        <w:pStyle w:val="ListBullet"/>
        <w:numPr>
          <w:ilvl w:val="0"/>
          <w:numId w:val="2"/>
        </w:numPr>
        <w:spacing w:lineRule="auto" w:line="240" w:before="0" w:after="40"/>
        <w:contextualSpacing/>
        <w:rPr/>
      </w:pPr>
      <w:r>
        <w:rPr/>
        <w:t>Briefly describe the implemented signal scaling, sign conventions, and the two velocity-estimation formulas; place the full Simulink diagram in an appendix.</w:t>
      </w:r>
    </w:p>
    <w:p>
      <w:pPr>
        <w:pStyle w:val="ListBullet"/>
        <w:numPr>
          <w:ilvl w:val="0"/>
          <w:numId w:val="2"/>
        </w:numPr>
        <w:spacing w:lineRule="auto" w:line="240" w:before="0" w:after="40"/>
        <w:contextualSpacing/>
        <w:rPr/>
      </w:pPr>
      <w:r>
        <w:rPr/>
        <w:t>Compare rise time, overshoot, steady-state error, and noise or ripple among the three cases.</w:t>
      </w:r>
    </w:p>
    <w:p>
      <w:pPr>
        <w:pStyle w:val="ListBullet"/>
        <w:numPr>
          <w:ilvl w:val="0"/>
          <w:numId w:val="2"/>
        </w:numPr>
        <w:spacing w:lineRule="auto" w:line="240" w:before="0" w:after="40"/>
        <w:contextualSpacing/>
        <w:rPr/>
      </w:pPr>
      <w:r>
        <w:rPr/>
        <w:t>Explain discrepancies using friction, sampling, encoder resolution, derivative filtering, saturation, and unmodeled dynamics.</w:t>
      </w:r>
    </w:p>
    <w:tbl>
      <w:tblPr>
        <w:tblW w:w="9996" w:type="dxa"/>
        <w:jc w:val="center"/>
        <w:tblInd w:w="0" w:type="dxa"/>
        <w:tblLayout w:type="fixed"/>
        <w:tblCellMar>
          <w:top w:w="55" w:type="dxa"/>
          <w:start w:w="55" w:type="dxa"/>
          <w:bottom w:w="55" w:type="dxa"/>
          <w:end w:w="55" w:type="dxa"/>
        </w:tblCellMar>
      </w:tblPr>
      <w:tblGrid>
        <w:gridCol w:w="1666"/>
        <w:gridCol w:w="1665"/>
        <w:gridCol w:w="1667"/>
        <w:gridCol w:w="1666"/>
        <w:gridCol w:w="1665"/>
        <w:gridCol w:w="1667"/>
      </w:tblGrid>
      <w:tr>
        <w:trPr>
          <w:tblHeader w:val="true"/>
          <w:cantSplit w:val="true"/>
        </w:trPr>
        <w:tc>
          <w:tcPr>
            <w:tcW w:w="1666"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Method</w:t>
            </w:r>
          </w:p>
        </w:tc>
        <w:tc>
          <w:tcPr>
            <w:tcW w:w="1665"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Rise time</w:t>
            </w:r>
          </w:p>
        </w:tc>
        <w:tc>
          <w:tcPr>
            <w:tcW w:w="1667"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Overshoot</w:t>
            </w:r>
          </w:p>
        </w:tc>
        <w:tc>
          <w:tcPr>
            <w:tcW w:w="1666"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Steady-state error</w:t>
            </w:r>
          </w:p>
        </w:tc>
        <w:tc>
          <w:tcPr>
            <w:tcW w:w="1665"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Noise or ripple</w:t>
            </w:r>
          </w:p>
        </w:tc>
        <w:tc>
          <w:tcPr>
            <w:tcW w:w="1667"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Comments</w:t>
            </w:r>
          </w:p>
        </w:tc>
      </w:tr>
      <w:tr>
        <w:trPr>
          <w:cantSplit w:val="true"/>
        </w:trPr>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Simulation</w:t>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Discrete velocity estimate</w:t>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Continuous velocity estimate</w:t>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6"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5"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66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A2. Question 2-2 velocity-estimate comparison.</w:t>
      </w:r>
    </w:p>
    <w:p>
      <w:pPr>
        <w:pStyle w:val="ResponsePlaceholder"/>
        <w:rPr/>
      </w:pPr>
      <w:r>
        <w:rPr/>
        <w:t>Comparison and discussion:</w:t>
      </w:r>
    </w:p>
    <w:p>
      <w:pPr>
        <w:pStyle w:val="Heading2"/>
        <w:rPr/>
      </w:pPr>
      <w:r>
        <w:rPr/>
        <w:t>2-3: PI Velocity Control</w:t>
      </w:r>
    </w:p>
    <w:p>
      <w:pPr>
        <w:pStyle w:val="Prompt"/>
        <w:rPr/>
      </w:pPr>
      <w:r>
        <w:rPr/>
        <w:t>Report the final PI design and explain how integral action reveals and counteracts the friction disturbance.</w:t>
      </w:r>
    </w:p>
    <w:p>
      <w:pPr>
        <w:pStyle w:val="ListBullet"/>
        <w:numPr>
          <w:ilvl w:val="0"/>
          <w:numId w:val="2"/>
        </w:numPr>
        <w:spacing w:lineRule="auto" w:line="240" w:before="0" w:after="40"/>
        <w:contextualSpacing/>
        <w:rPr/>
      </w:pPr>
      <w:r>
        <w:rPr/>
        <w:t>Complete Table A3 with the final gains, measured rise time, overshoot, steady-state error, and steady-state control effort.</w:t>
      </w:r>
    </w:p>
    <w:p>
      <w:pPr>
        <w:pStyle w:val="ListBullet"/>
        <w:numPr>
          <w:ilvl w:val="0"/>
          <w:numId w:val="2"/>
        </w:numPr>
        <w:spacing w:lineRule="auto" w:line="240" w:before="0" w:after="40"/>
        <w:contextualSpacing/>
        <w:rPr/>
      </w:pPr>
      <w:r>
        <w:rPr/>
        <w:t>Compare the P and PI responses using the same velocity-estimation method.</w:t>
      </w:r>
    </w:p>
    <w:p>
      <w:pPr>
        <w:pStyle w:val="ListBullet"/>
        <w:numPr>
          <w:ilvl w:val="0"/>
          <w:numId w:val="2"/>
        </w:numPr>
        <w:spacing w:lineRule="auto" w:line="240" w:before="0" w:after="40"/>
        <w:contextualSpacing/>
        <w:rPr/>
      </w:pPr>
      <w:r>
        <w:rPr/>
        <w:t>Explain why the steady-state control effort is nonzero and how it represents the effort required to overcome friction.</w:t>
      </w:r>
    </w:p>
    <w:p>
      <w:pPr>
        <w:pStyle w:val="ListBullet"/>
        <w:numPr>
          <w:ilvl w:val="0"/>
          <w:numId w:val="2"/>
        </w:numPr>
        <w:spacing w:lineRule="auto" w:line="240" w:before="0" w:after="40"/>
        <w:contextualSpacing/>
        <w:rPr/>
      </w:pPr>
      <w:r>
        <w:rPr/>
        <w:t>State whether the response satisfied the specified rise-time, overshoot, and steady-state-error requirements.</w:t>
      </w:r>
    </w:p>
    <w:tbl>
      <w:tblPr>
        <w:tblW w:w="9994" w:type="dxa"/>
        <w:jc w:val="center"/>
        <w:tblInd w:w="0" w:type="dxa"/>
        <w:tblLayout w:type="fixed"/>
        <w:tblCellMar>
          <w:top w:w="55" w:type="dxa"/>
          <w:start w:w="55" w:type="dxa"/>
          <w:bottom w:w="55" w:type="dxa"/>
          <w:end w:w="55" w:type="dxa"/>
        </w:tblCellMar>
      </w:tblPr>
      <w:tblGrid>
        <w:gridCol w:w="4997"/>
        <w:gridCol w:w="4997"/>
      </w:tblGrid>
      <w:tr>
        <w:trPr>
          <w:tblHeader w:val="true"/>
          <w:cantSplit w:val="true"/>
        </w:trPr>
        <w:tc>
          <w:tcPr>
            <w:tcW w:w="4997"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PI design item</w:t>
            </w:r>
          </w:p>
        </w:tc>
        <w:tc>
          <w:tcPr>
            <w:tcW w:w="4997"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Value or result</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8"/>
                <w:szCs w:val="22"/>
                <w:lang w:bidi="ar-SA"/>
              </w:rPr>
              <w:t>K</w:t>
            </w:r>
            <w:r>
              <w:rPr>
                <w:rFonts w:eastAsia="Arial"/>
                <w:b/>
                <w:kern w:val="0"/>
                <w:sz w:val="18"/>
                <w:szCs w:val="22"/>
                <w:vertAlign w:val="subscript"/>
                <w:lang w:bidi="ar-SA"/>
              </w:rPr>
              <w:t>p</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8"/>
                <w:szCs w:val="22"/>
                <w:lang w:bidi="ar-SA"/>
              </w:rPr>
              <w:t>K</w:t>
            </w:r>
            <w:r>
              <w:rPr>
                <w:rFonts w:eastAsia="Arial"/>
                <w:b/>
                <w:kern w:val="0"/>
                <w:sz w:val="18"/>
                <w:szCs w:val="22"/>
                <w:vertAlign w:val="subscript"/>
                <w:lang w:bidi="ar-SA"/>
              </w:rPr>
              <w:t>i</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Measured rise time</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Measured overshoot</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Steady-state error and control effort</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A3. Question 2-3 PI-controller tuning.</w:t>
      </w:r>
    </w:p>
    <w:p>
      <w:pPr>
        <w:pStyle w:val="ResponsePlaceholder"/>
        <w:rPr/>
      </w:pPr>
      <w:r>
        <w:rPr/>
        <w:t>PI-control analysis and discussion:</w:t>
      </w:r>
    </w:p>
    <w:p>
      <w:pPr>
        <w:pStyle w:val="Heading2"/>
        <w:rPr/>
      </w:pPr>
      <w:r>
        <w:rPr/>
        <w:t>2-4: Friction Identification</w:t>
      </w:r>
    </w:p>
    <w:p>
      <w:pPr>
        <w:pStyle w:val="Prompt"/>
        <w:rPr/>
      </w:pPr>
      <w:r>
        <w:rPr/>
        <w:t>Use the recorded steady-state velocity and control-effort data to identify the asymmetric friction model.</w:t>
      </w:r>
    </w:p>
    <w:p>
      <w:pPr>
        <w:pStyle w:val="ListBullet"/>
        <w:numPr>
          <w:ilvl w:val="0"/>
          <w:numId w:val="2"/>
        </w:numPr>
        <w:spacing w:lineRule="auto" w:line="240" w:before="0" w:after="40"/>
        <w:contextualSpacing/>
        <w:rPr/>
      </w:pPr>
      <w:r>
        <w:rPr/>
        <w:t>Complete Table A4 with every positive- and negative-direction measurement used in the fit.</w:t>
      </w:r>
    </w:p>
    <w:p>
      <w:pPr>
        <w:pStyle w:val="ListBullet"/>
        <w:numPr>
          <w:ilvl w:val="0"/>
          <w:numId w:val="2"/>
        </w:numPr>
        <w:spacing w:lineRule="auto" w:line="240" w:before="0" w:after="40"/>
        <w:contextualSpacing/>
        <w:rPr/>
      </w:pPr>
      <w:r>
        <w:rPr/>
        <w:t>Include a plot of steady-state control effort versus velocity with separate fitted lines for each direction.</w:t>
      </w:r>
    </w:p>
    <w:p>
      <w:pPr>
        <w:pStyle w:val="ListBullet"/>
        <w:numPr>
          <w:ilvl w:val="0"/>
          <w:numId w:val="2"/>
        </w:numPr>
        <w:spacing w:lineRule="auto" w:line="240" w:before="0" w:after="40"/>
        <w:contextualSpacing/>
        <w:rPr/>
      </w:pPr>
      <w:r>
        <w:rPr/>
        <w:t>Complete Table A5 with the Coulomb and viscous coefficients, fitted equations, and a fit-quality measure.</w:t>
      </w:r>
    </w:p>
    <w:p>
      <w:pPr>
        <w:pStyle w:val="ListBullet"/>
        <w:numPr>
          <w:ilvl w:val="0"/>
          <w:numId w:val="2"/>
        </w:numPr>
        <w:spacing w:lineRule="auto" w:line="240" w:before="0" w:after="40"/>
        <w:contextualSpacing/>
        <w:rPr/>
      </w:pPr>
      <w:r>
        <w:rPr/>
        <w:t>Write the final piecewise expression for F(ω) and discuss asymmetry, outliers, uncertainty, and units.</w:t>
      </w:r>
    </w:p>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tblHeader w:val="true"/>
          <w:cantSplit w:val="true"/>
        </w:trPr>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Commanded velocity (rad/s)</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Measured velocity (rad/s)</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Steady-state control effort</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Included in fit?</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150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100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75</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50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25</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-25</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-50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-75</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-100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-150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A4. Question 2-4 friction-identification data.</w:t>
      </w:r>
    </w:p>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tblHeader w:val="true"/>
          <w:cantSplit w:val="true"/>
        </w:trPr>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Direction</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Coulomb friction c</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Viscous friction b</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Fitted expression F(ω)</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Positive</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Negative</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R² or fit quality</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Final values used</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A5. Question 2-4 identified friction model.</w:t>
      </w:r>
    </w:p>
    <w:p>
      <w:pPr>
        <w:pStyle w:val="ResponsePlaceholder"/>
        <w:rPr/>
      </w:pPr>
      <w:r>
        <w:rPr/>
        <w:t>Friction-model analysis and discussion:</w:t>
      </w:r>
    </w:p>
    <w:p>
      <w:pPr>
        <w:pStyle w:val="Heading2"/>
        <w:rPr/>
      </w:pPr>
      <w:r>
        <w:rPr/>
        <w:t>2-5: Friction Compensation</w:t>
      </w:r>
    </w:p>
    <w:p>
      <w:pPr>
        <w:pStyle w:val="Prompt"/>
        <w:rPr/>
      </w:pPr>
      <w:r>
        <w:rPr/>
        <w:t>Report the friction-compensation results using the values identified in Question 2-4 and the final tuned values from the laboratory.</w:t>
      </w:r>
    </w:p>
    <w:p>
      <w:pPr>
        <w:pStyle w:val="ListBullet"/>
        <w:numPr>
          <w:ilvl w:val="0"/>
          <w:numId w:val="2"/>
        </w:numPr>
        <w:spacing w:lineRule="auto" w:line="240" w:before="0" w:after="40"/>
        <w:contextualSpacing/>
        <w:rPr/>
      </w:pPr>
      <w:r>
        <w:rPr/>
        <w:t>Complete Table A6 with the identified values, tuned values, and the reason for each adjustment.</w:t>
      </w:r>
    </w:p>
    <w:p>
      <w:pPr>
        <w:pStyle w:val="ListBullet"/>
        <w:numPr>
          <w:ilvl w:val="0"/>
          <w:numId w:val="2"/>
        </w:numPr>
        <w:spacing w:lineRule="auto" w:line="240" w:before="0" w:after="40"/>
        <w:contextualSpacing/>
        <w:rPr/>
      </w:pPr>
      <w:r>
        <w:rPr/>
        <w:t>State the predicted and observed behavior when friction compensation was applied without feedback control.</w:t>
      </w:r>
    </w:p>
    <w:p>
      <w:pPr>
        <w:pStyle w:val="ListBullet"/>
        <w:numPr>
          <w:ilvl w:val="0"/>
          <w:numId w:val="2"/>
        </w:numPr>
        <w:spacing w:lineRule="auto" w:line="240" w:before="0" w:after="40"/>
        <w:contextualSpacing/>
        <w:rPr/>
      </w:pPr>
      <w:r>
        <w:rPr/>
        <w:t>Compare P control and PI control with friction compensation, including response speed, steady-state error, and sensitivity to added damping.</w:t>
      </w:r>
    </w:p>
    <w:p>
      <w:pPr>
        <w:pStyle w:val="ListBullet"/>
        <w:numPr>
          <w:ilvl w:val="0"/>
          <w:numId w:val="2"/>
        </w:numPr>
        <w:spacing w:lineRule="auto" w:line="240" w:before="0" w:after="40"/>
        <w:contextualSpacing/>
        <w:rPr/>
      </w:pPr>
      <w:r>
        <w:rPr/>
        <w:t>Explain whether integral action remained necessary after compensation and why the compensation was imperfect.</w:t>
      </w:r>
    </w:p>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tblHeader w:val="true"/>
          <w:cantSplit w:val="true"/>
        </w:trPr>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Friction parameter</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Initial Question 2-4 value</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Tuned Question 2-5 value</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Reason for change</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c+</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b+</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c-</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b-</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A6. Question 2-5 friction-compensation tuning.</w:t>
      </w:r>
    </w:p>
    <w:p>
      <w:pPr>
        <w:pStyle w:val="ResponsePlaceholder"/>
        <w:rPr/>
      </w:pPr>
      <w:r>
        <w:rPr/>
        <w:t>Friction compensation without feedback: prediction and observed behavior:</w:t>
      </w:r>
    </w:p>
    <w:p>
      <w:pPr>
        <w:pStyle w:val="ResponsePlaceholder"/>
        <w:rPr/>
      </w:pPr>
      <w:r>
        <w:rPr/>
        <w:t>P-versus-PI comparison with friction compensation:</w:t>
      </w:r>
    </w:p>
    <w:p>
      <w:pPr>
        <w:pStyle w:val="Heading2"/>
        <w:rPr/>
      </w:pPr>
      <w:r>
        <w:rPr/>
        <w:t>3-1: RWP Parameter Calculations</w:t>
      </w:r>
    </w:p>
    <w:p>
      <w:pPr>
        <w:pStyle w:val="Prompt"/>
        <w:rPr/>
      </w:pPr>
      <w:r>
        <w:rPr/>
        <w:t>Calculate the combined physical parameters required by the RWP model.</w:t>
      </w:r>
    </w:p>
    <w:p>
      <w:pPr>
        <w:pStyle w:val="ListBullet"/>
        <w:numPr>
          <w:ilvl w:val="0"/>
          <w:numId w:val="2"/>
        </w:numPr>
        <w:spacing w:lineRule="auto" w:line="240" w:before="0" w:after="40"/>
        <w:contextualSpacing/>
        <w:rPr/>
      </w:pPr>
      <w:r>
        <w:rPr/>
        <w:t>Complete Table A7 and show every substitution with units.</w:t>
      </w:r>
    </w:p>
    <w:p>
      <w:pPr>
        <w:pStyle w:val="ListBullet"/>
        <w:numPr>
          <w:ilvl w:val="0"/>
          <w:numId w:val="2"/>
        </w:numPr>
        <w:spacing w:lineRule="auto" w:line="240" w:before="0" w:after="40"/>
        <w:contextualSpacing/>
        <w:rPr/>
      </w:pPr>
      <w:r>
        <w:rPr/>
        <w:t>Calculate the total mass, equivalent center-of-mass distance, inertia, and the two natural-frequency quantities.</w:t>
      </w:r>
    </w:p>
    <w:p>
      <w:pPr>
        <w:pStyle w:val="ListBullet"/>
        <w:numPr>
          <w:ilvl w:val="0"/>
          <w:numId w:val="2"/>
        </w:numPr>
        <w:spacing w:lineRule="auto" w:line="240" w:before="0" w:after="40"/>
        <w:contextualSpacing/>
        <w:rPr/>
      </w:pPr>
      <w:r>
        <w:rPr/>
        <w:t>Check dimensional consistency and retain enough significant figures for later controller design.</w:t>
      </w:r>
    </w:p>
    <w:p>
      <w:pPr>
        <w:pStyle w:val="ListBullet"/>
        <w:numPr>
          <w:ilvl w:val="0"/>
          <w:numId w:val="2"/>
        </w:numPr>
        <w:spacing w:lineRule="auto" w:line="240" w:before="0" w:after="40"/>
        <w:contextualSpacing/>
        <w:rPr/>
      </w:pPr>
      <w:r>
        <w:rPr/>
        <w:t>Explain how the rotor mass and rotor inertia contribute differently to the model.</w:t>
      </w:r>
    </w:p>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tblHeader w:val="true"/>
          <w:cantSplit w:val="true"/>
        </w:trPr>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Quantity</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Given or calculated value</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Units</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Calculation or source</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6"/>
                <w:szCs w:val="22"/>
                <w:lang w:bidi="ar-SA"/>
              </w:rPr>
              <w:t>m</w:t>
            </w:r>
            <w:r>
              <w:rPr>
                <w:rFonts w:eastAsia="Arial"/>
                <w:b/>
                <w:kern w:val="0"/>
                <w:sz w:val="16"/>
                <w:szCs w:val="22"/>
                <w:vertAlign w:val="subscript"/>
                <w:lang w:bidi="ar-SA"/>
              </w:rPr>
              <w:t>p</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0.2164</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kg</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Given</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6"/>
                <w:szCs w:val="22"/>
                <w:lang w:bidi="ar-SA"/>
              </w:rPr>
              <w:t>m</w:t>
            </w:r>
            <w:r>
              <w:rPr>
                <w:rFonts w:eastAsia="Arial"/>
                <w:b/>
                <w:kern w:val="0"/>
                <w:sz w:val="16"/>
                <w:szCs w:val="22"/>
                <w:vertAlign w:val="subscript"/>
                <w:lang w:bidi="ar-SA"/>
              </w:rPr>
              <w:t>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0.0850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kg</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Given</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6"/>
                <w:szCs w:val="22"/>
                <w:lang w:bidi="ar-SA"/>
              </w:rPr>
              <w:t>J</w:t>
            </w:r>
            <w:r>
              <w:rPr>
                <w:rFonts w:eastAsia="Arial"/>
                <w:b/>
                <w:kern w:val="0"/>
                <w:sz w:val="16"/>
                <w:szCs w:val="22"/>
                <w:vertAlign w:val="subscript"/>
                <w:lang w:bidi="ar-SA"/>
              </w:rPr>
              <w:t>p</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2.233×10^-4</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kg·m²</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Given</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6"/>
                <w:szCs w:val="22"/>
                <w:lang w:bidi="ar-SA"/>
              </w:rPr>
              <w:t>J</w:t>
            </w:r>
            <w:r>
              <w:rPr>
                <w:rFonts w:eastAsia="Arial"/>
                <w:b/>
                <w:kern w:val="0"/>
                <w:sz w:val="16"/>
                <w:szCs w:val="22"/>
                <w:vertAlign w:val="subscript"/>
                <w:lang w:bidi="ar-SA"/>
              </w:rPr>
              <w:t>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2.495×10^-5</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kg·m²</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Given</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6"/>
                <w:szCs w:val="22"/>
                <w:lang w:bidi="ar-SA"/>
              </w:rPr>
              <w:t>l</w:t>
            </w:r>
            <w:r>
              <w:rPr>
                <w:rFonts w:eastAsia="Arial"/>
                <w:b/>
                <w:kern w:val="0"/>
                <w:sz w:val="16"/>
                <w:szCs w:val="22"/>
                <w:vertAlign w:val="subscript"/>
                <w:lang w:bidi="ar-SA"/>
              </w:rPr>
              <w:t>p</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0.1173</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m</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Given</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6"/>
                <w:szCs w:val="22"/>
                <w:lang w:bidi="ar-SA"/>
              </w:rPr>
              <w:t>l</w:t>
            </w:r>
            <w:r>
              <w:rPr>
                <w:rFonts w:eastAsia="Arial"/>
                <w:b/>
                <w:kern w:val="0"/>
                <w:sz w:val="16"/>
                <w:szCs w:val="22"/>
                <w:vertAlign w:val="subscript"/>
                <w:lang w:bidi="ar-SA"/>
              </w:rPr>
              <w:t>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0.1270</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m</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Given</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J</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kg·m²</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m and l</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kg and m</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6"/>
                <w:szCs w:val="22"/>
                <w:lang w:bidi="ar-SA"/>
              </w:rPr>
              <w:t>ω</w:t>
            </w:r>
            <w:r>
              <w:rPr>
                <w:rFonts w:eastAsia="Arial"/>
                <w:b/>
                <w:kern w:val="0"/>
                <w:sz w:val="16"/>
                <w:szCs w:val="22"/>
                <w:vertAlign w:val="subscript"/>
                <w:lang w:bidi="ar-SA"/>
              </w:rPr>
              <w:t>np</w:t>
            </w:r>
            <w:r>
              <w:rPr>
                <w:rFonts w:eastAsia="Arial"/>
                <w:b/>
                <w:kern w:val="0"/>
                <w:sz w:val="16"/>
                <w:szCs w:val="22"/>
                <w:lang w:bidi="ar-SA"/>
              </w:rPr>
              <w:t xml:space="preserve"> and ω</w:t>
            </w:r>
            <w:r>
              <w:rPr>
                <w:rFonts w:eastAsia="Arial"/>
                <w:b/>
                <w:kern w:val="0"/>
                <w:sz w:val="16"/>
                <w:szCs w:val="22"/>
                <w:vertAlign w:val="subscript"/>
                <w:lang w:bidi="ar-SA"/>
              </w:rPr>
              <w:t>np′</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6"/>
                <w:szCs w:val="22"/>
                <w:lang w:bidi="ar-SA"/>
              </w:rPr>
            </w:pPr>
            <w:r>
              <w:rPr>
                <w:rFonts w:eastAsia="Arial"/>
                <w:kern w:val="0"/>
                <w:sz w:val="16"/>
                <w:szCs w:val="22"/>
                <w:lang w:bidi="ar-SA"/>
              </w:rPr>
              <w:t>rad/s</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A7. Question 3-1 RWP parameter calculations.</w:t>
      </w:r>
    </w:p>
    <w:p>
      <w:pPr>
        <w:pStyle w:val="ResponsePlaceholder"/>
        <w:rPr/>
      </w:pPr>
      <w:r>
        <w:rPr/>
        <w:t>Parameter calculations and interpretation:</w:t>
      </w:r>
    </w:p>
    <w:p>
      <w:pPr>
        <w:pStyle w:val="Heading2"/>
        <w:rPr/>
      </w:pPr>
      <w:r>
        <w:rPr/>
        <w:t>3-2: Free-Swing Frequency Identification</w:t>
      </w:r>
    </w:p>
    <w:p>
      <w:pPr>
        <w:pStyle w:val="Prompt"/>
        <w:rPr/>
      </w:pPr>
      <w:r>
        <w:rPr/>
        <w:t>Report the free-swing frequency obtained from the laboratory data and compare it with the theoretical values.</w:t>
      </w:r>
    </w:p>
    <w:p>
      <w:pPr>
        <w:pStyle w:val="ListBullet"/>
        <w:numPr>
          <w:ilvl w:val="0"/>
          <w:numId w:val="2"/>
        </w:numPr>
        <w:spacing w:lineRule="auto" w:line="240" w:before="0" w:after="40"/>
        <w:contextualSpacing/>
        <w:rPr/>
      </w:pPr>
      <w:r>
        <w:rPr/>
        <w:t>Complete Table A8 with the theoretical and measured frequencies and percent differences.</w:t>
      </w:r>
    </w:p>
    <w:p>
      <w:pPr>
        <w:pStyle w:val="ListBullet"/>
        <w:numPr>
          <w:ilvl w:val="0"/>
          <w:numId w:val="2"/>
        </w:numPr>
        <w:spacing w:lineRule="auto" w:line="240" w:before="0" w:after="40"/>
        <w:contextualSpacing/>
        <w:rPr/>
      </w:pPr>
      <w:r>
        <w:rPr/>
        <w:t>Explain how the oscillation period or frequency was extracted from the recorded pendulum-angle data.</w:t>
      </w:r>
    </w:p>
    <w:p>
      <w:pPr>
        <w:pStyle w:val="ListBullet"/>
        <w:numPr>
          <w:ilvl w:val="0"/>
          <w:numId w:val="2"/>
        </w:numPr>
        <w:spacing w:lineRule="auto" w:line="240" w:before="0" w:after="40"/>
        <w:contextualSpacing/>
        <w:rPr/>
      </w:pPr>
      <w:r>
        <w:rPr/>
        <w:t>Compare ω_np, ω_np′, and the measured value, then identify the value used in the later model.</w:t>
      </w:r>
    </w:p>
    <w:p>
      <w:pPr>
        <w:pStyle w:val="ListBullet"/>
        <w:numPr>
          <w:ilvl w:val="0"/>
          <w:numId w:val="2"/>
        </w:numPr>
        <w:spacing w:lineRule="auto" w:line="240" w:before="0" w:after="40"/>
        <w:contextualSpacing/>
        <w:rPr/>
      </w:pPr>
      <w:r>
        <w:rPr/>
        <w:t>Discuss what the slow decay of pendulum oscillations implies about pendulum friction relative to rotor friction.</w:t>
      </w:r>
    </w:p>
    <w:tbl>
      <w:tblPr>
        <w:tblW w:w="9993" w:type="dxa"/>
        <w:jc w:val="center"/>
        <w:tblInd w:w="0" w:type="dxa"/>
        <w:tblLayout w:type="fixed"/>
        <w:tblCellMar>
          <w:top w:w="55" w:type="dxa"/>
          <w:start w:w="55" w:type="dxa"/>
          <w:bottom w:w="55" w:type="dxa"/>
          <w:end w:w="55" w:type="dxa"/>
        </w:tblCellMar>
      </w:tblPr>
      <w:tblGrid>
        <w:gridCol w:w="3331"/>
        <w:gridCol w:w="3331"/>
        <w:gridCol w:w="3331"/>
      </w:tblGrid>
      <w:tr>
        <w:trPr>
          <w:tblHeader w:val="true"/>
          <w:cantSplit w:val="true"/>
        </w:trPr>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Frequency quantity</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Value</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8"/>
                <w:szCs w:val="22"/>
                <w:lang w:bidi="ar-SA"/>
              </w:rPr>
            </w:pPr>
            <w:r>
              <w:rPr>
                <w:rFonts w:eastAsia="Arial"/>
                <w:b/>
                <w:kern w:val="0"/>
                <w:sz w:val="18"/>
                <w:szCs w:val="22"/>
                <w:lang w:bidi="ar-SA"/>
              </w:rPr>
              <w:t>Comparison or percent difference</w:t>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8"/>
                <w:szCs w:val="22"/>
                <w:lang w:bidi="ar-SA"/>
              </w:rPr>
              <w:t>Theoretical ω</w:t>
            </w:r>
            <w:r>
              <w:rPr>
                <w:rFonts w:eastAsia="Arial"/>
                <w:b/>
                <w:kern w:val="0"/>
                <w:sz w:val="18"/>
                <w:szCs w:val="22"/>
                <w:vertAlign w:val="subscript"/>
                <w:lang w:bidi="ar-SA"/>
              </w:rPr>
              <w:t>np</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8"/>
                <w:szCs w:val="22"/>
                <w:lang w:bidi="ar-SA"/>
              </w:rPr>
              <w:t>Theoretical ω</w:t>
            </w:r>
            <w:r>
              <w:rPr>
                <w:rFonts w:eastAsia="Arial"/>
                <w:b/>
                <w:kern w:val="0"/>
                <w:sz w:val="18"/>
                <w:szCs w:val="22"/>
                <w:vertAlign w:val="subscript"/>
                <w:lang w:bidi="ar-SA"/>
              </w:rPr>
              <w:t>np′</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8"/>
                <w:szCs w:val="22"/>
                <w:lang w:bidi="ar-SA"/>
              </w:rPr>
              <w:t>Measured ω</w:t>
            </w:r>
            <w:r>
              <w:rPr>
                <w:rFonts w:eastAsia="Arial"/>
                <w:b/>
                <w:kern w:val="0"/>
                <w:sz w:val="18"/>
                <w:szCs w:val="22"/>
                <w:vertAlign w:val="subscript"/>
                <w:lang w:bidi="ar-SA"/>
              </w:rPr>
              <w:t>np′</w:t>
            </w:r>
            <w:r>
              <w:rPr>
                <w:rFonts w:eastAsia="Arial"/>
                <w:b/>
                <w:kern w:val="0"/>
                <w:sz w:val="18"/>
                <w:szCs w:val="22"/>
                <w:lang w:bidi="ar-SA"/>
              </w:rPr>
              <w:t>meas</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8"/>
                <w:szCs w:val="22"/>
                <w:lang w:bidi="ar-SA"/>
              </w:rPr>
              <w:t>Selected identified ω</w:t>
            </w:r>
            <w:r>
              <w:rPr>
                <w:rFonts w:eastAsia="Arial"/>
                <w:b/>
                <w:kern w:val="0"/>
                <w:sz w:val="18"/>
                <w:szCs w:val="22"/>
                <w:vertAlign w:val="subscript"/>
                <w:lang w:bidi="ar-SA"/>
              </w:rPr>
              <w:t>np</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A8. Question 3-2 harmonic-frequency comparison.</w:t>
      </w:r>
    </w:p>
    <w:p>
      <w:pPr>
        <w:pStyle w:val="ResponsePlaceholder"/>
        <w:rPr/>
      </w:pPr>
      <w:r>
        <w:rPr/>
        <w:t>Frequency comparison and friction interpretation:</w:t>
      </w:r>
    </w:p>
    <w:p>
      <w:pPr>
        <w:pStyle w:val="Heading2"/>
        <w:rPr/>
      </w:pPr>
      <w:r>
        <w:rPr>
          <w:b/>
          <w:i w:val="false"/>
        </w:rPr>
        <w:t>3-3: Identification of b</w:t>
      </w:r>
      <w:r>
        <w:rPr>
          <w:b/>
          <w:i w:val="false"/>
          <w:vertAlign w:val="subscript"/>
        </w:rPr>
        <w:t>p</w:t>
      </w:r>
      <w:r>
        <w:rPr>
          <w:b/>
          <w:i w:val="false"/>
        </w:rPr>
        <w:t xml:space="preserve"> and b</w:t>
      </w:r>
      <w:r>
        <w:rPr>
          <w:b/>
          <w:i w:val="false"/>
          <w:vertAlign w:val="subscript"/>
        </w:rPr>
        <w:t>r</w:t>
      </w:r>
    </w:p>
    <w:p>
      <w:pPr>
        <w:pStyle w:val="Prompt"/>
        <w:rPr/>
      </w:pPr>
      <w:r>
        <w:rPr/>
        <w:t>Report the polynomial-fit identification of the remaining RWP coefficients.</w:t>
      </w:r>
    </w:p>
    <w:p>
      <w:pPr>
        <w:pStyle w:val="ListBullet"/>
        <w:numPr>
          <w:ilvl w:val="0"/>
          <w:numId w:val="2"/>
        </w:numPr>
        <w:spacing w:lineRule="auto" w:line="240" w:before="0" w:after="40"/>
        <w:contextualSpacing/>
        <w:rPr/>
      </w:pPr>
      <w:r>
        <w:rPr/>
        <w:t>Complete Table A9 with the selected data interval, identified coefficients, units, and percent differences.</w:t>
      </w:r>
    </w:p>
    <w:p>
      <w:pPr>
        <w:pStyle w:val="ListBullet"/>
        <w:numPr>
          <w:ilvl w:val="0"/>
          <w:numId w:val="2"/>
        </w:numPr>
        <w:spacing w:lineRule="auto" w:line="240" w:before="0" w:after="40"/>
        <w:contextualSpacing/>
        <w:rPr/>
      </w:pPr>
      <w:r>
        <w:rPr/>
        <w:t>Include the original position data and cubic fit, and show the velocity and acceleration obtained analytically from the fit.</w:t>
      </w:r>
    </w:p>
    <w:p>
      <w:pPr>
        <w:pStyle w:val="ListBullet"/>
        <w:numPr>
          <w:ilvl w:val="0"/>
          <w:numId w:val="2"/>
        </w:numPr>
        <w:spacing w:lineRule="auto" w:line="240" w:before="0" w:after="40"/>
        <w:contextualSpacing/>
        <w:rPr/>
      </w:pPr>
      <w:r>
        <w:rPr/>
        <w:t>Write the equations used to solve for b_p and b_r after substituting the fitted derivatives and friction model.</w:t>
      </w:r>
    </w:p>
    <w:p>
      <w:pPr>
        <w:pStyle w:val="ListBullet"/>
        <w:numPr>
          <w:ilvl w:val="0"/>
          <w:numId w:val="2"/>
        </w:numPr>
        <w:spacing w:lineRule="auto" w:line="240" w:before="0" w:after="40"/>
        <w:contextualSpacing/>
        <w:rPr/>
      </w:pPr>
      <w:r>
        <w:rPr/>
        <w:t>Explain why direct numerical differentiation was rejected and discuss sensitivity to the selected fitting interval.</w:t>
      </w:r>
    </w:p>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tblHeader w:val="true"/>
          <w:cantSplit w:val="true"/>
        </w:trPr>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Identification item</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Value</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Units</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Notes</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Selected data interval</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s</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7"/>
                <w:szCs w:val="22"/>
                <w:lang w:bidi="ar-SA"/>
              </w:rPr>
              <w:t>b</w:t>
            </w:r>
            <w:r>
              <w:rPr>
                <w:rFonts w:eastAsia="Arial"/>
                <w:b/>
                <w:kern w:val="0"/>
                <w:sz w:val="17"/>
                <w:szCs w:val="22"/>
                <w:vertAlign w:val="subscript"/>
                <w:lang w:bidi="ar-SA"/>
              </w:rPr>
              <w:t>p</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7"/>
                <w:szCs w:val="22"/>
                <w:lang w:bidi="ar-SA"/>
              </w:rPr>
              <w:t>b</w:t>
            </w:r>
            <w:r>
              <w:rPr>
                <w:rFonts w:eastAsia="Arial"/>
                <w:b/>
                <w:kern w:val="0"/>
                <w:sz w:val="17"/>
                <w:szCs w:val="22"/>
                <w:vertAlign w:val="subscript"/>
                <w:lang w:bidi="ar-SA"/>
              </w:rPr>
              <w:t>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Percent difference from reference</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Values used in later parts</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A9. Question 3-3 identified coefficients.</w:t>
      </w:r>
    </w:p>
    <w:p>
      <w:pPr>
        <w:pStyle w:val="ResponsePlaceholder"/>
        <w:rPr/>
      </w:pPr>
      <w:r>
        <w:rPr/>
        <w:t>Identification method, uncertainty, and discussion:</w:t>
      </w:r>
    </w:p>
    <w:p>
      <w:pPr>
        <w:pStyle w:val="Heading2"/>
        <w:rPr/>
      </w:pPr>
      <w:r>
        <w:rPr/>
        <w:t>4-1: Linearization and Controllability</w:t>
      </w:r>
    </w:p>
    <w:p>
      <w:pPr>
        <w:pStyle w:val="Prompt"/>
        <w:rPr/>
      </w:pPr>
      <w:r>
        <w:rPr/>
        <w:t>Present the inverted-equilibrium linearization and establish whether the system is controllable from the motor input.</w:t>
      </w:r>
    </w:p>
    <w:p>
      <w:pPr>
        <w:pStyle w:val="ListBullet"/>
        <w:numPr>
          <w:ilvl w:val="0"/>
          <w:numId w:val="2"/>
        </w:numPr>
        <w:spacing w:lineRule="auto" w:line="240" w:before="0" w:after="40"/>
        <w:contextualSpacing/>
        <w:rPr/>
      </w:pPr>
      <w:r>
        <w:rPr/>
        <w:t>Complete the A, B, C, and D matrices using the defined delta-state vector.</w:t>
      </w:r>
    </w:p>
    <w:p>
      <w:pPr>
        <w:pStyle w:val="ListBullet"/>
        <w:numPr>
          <w:ilvl w:val="0"/>
          <w:numId w:val="2"/>
        </w:numPr>
        <w:spacing w:lineRule="auto" w:line="240" w:before="0" w:after="40"/>
        <w:contextualSpacing/>
        <w:rPr/>
      </w:pPr>
      <w:r>
        <w:rPr/>
        <w:t>Show the linearization about θ_p = π and identify the equilibrium values.</w:t>
      </w:r>
    </w:p>
    <w:p>
      <w:pPr>
        <w:pStyle w:val="ListBullet"/>
        <w:numPr>
          <w:ilvl w:val="0"/>
          <w:numId w:val="2"/>
        </w:numPr>
        <w:spacing w:lineRule="auto" w:line="240" w:before="0" w:after="40"/>
        <w:contextualSpacing/>
        <w:rPr/>
      </w:pPr>
      <w:r>
        <w:rPr/>
        <w:t>Report the open-loop poles and interpret the unstable and zero modes.</w:t>
      </w:r>
    </w:p>
    <w:p>
      <w:pPr>
        <w:pStyle w:val="ListBullet"/>
        <w:numPr>
          <w:ilvl w:val="0"/>
          <w:numId w:val="2"/>
        </w:numPr>
        <w:spacing w:lineRule="auto" w:line="240" w:before="0" w:after="40"/>
        <w:contextualSpacing/>
        <w:rPr/>
      </w:pPr>
      <w:r>
        <w:rPr/>
        <w:t>Show the controllability matrix or its rank and explain the result.</w:t>
      </w:r>
    </w:p>
    <w:p>
      <w:pPr>
        <w:pStyle w:val="Normal"/>
        <w:rPr/>
      </w:pPr>
      <w:r>
        <w:rPr>
          <w:b w:val="false"/>
          <w:i w:val="false"/>
        </w:rPr>
        <w:t>State vector x = [δθ</w:t>
      </w:r>
      <w:r>
        <w:rPr>
          <w:b w:val="false"/>
          <w:i w:val="false"/>
          <w:vertAlign w:val="subscript"/>
        </w:rPr>
        <w:t>p</w:t>
      </w:r>
      <w:r>
        <w:rPr>
          <w:b w:val="false"/>
          <w:i w:val="false"/>
        </w:rPr>
        <w:t>, δθ̇</w:t>
      </w:r>
      <w:r>
        <w:rPr>
          <w:b w:val="false"/>
          <w:i w:val="false"/>
          <w:vertAlign w:val="subscript"/>
        </w:rPr>
        <w:t>p</w:t>
      </w:r>
      <w:r>
        <w:rPr>
          <w:b w:val="false"/>
          <w:i w:val="false"/>
        </w:rPr>
        <w:t>, δθ</w:t>
      </w:r>
      <w:r>
        <w:rPr>
          <w:b w:val="false"/>
          <w:i w:val="false"/>
          <w:vertAlign w:val="subscript"/>
        </w:rPr>
        <w:t>r</w:t>
      </w:r>
      <w:r>
        <w:rPr>
          <w:b w:val="false"/>
          <w:i w:val="false"/>
        </w:rPr>
        <w:t>, δθ̇</w:t>
      </w:r>
      <w:r>
        <w:rPr>
          <w:b w:val="false"/>
          <w:i w:val="false"/>
          <w:vertAlign w:val="subscript"/>
        </w:rPr>
        <w:t>r</w:t>
      </w:r>
      <w:r>
        <w:rPr>
          <w:b w:val="false"/>
          <w:i w:val="false"/>
        </w:rPr>
        <w:t>]^T</w:t>
      </w:r>
    </w:p>
    <w:p>
      <w:pPr>
        <w:pStyle w:val="Normal"/>
        <w:rPr>
          <w:b w:val="false"/>
          <w:i w:val="false"/>
          <w:i w:val="false"/>
        </w:rPr>
      </w:pPr>
      <w:r>
        <w:rPr>
          <w:b w:val="false"/>
          <w:i w:val="false"/>
        </w:rPr>
        <w:t>A =</w:t>
      </w:r>
    </w:p>
    <w:tbl>
      <w:tblPr>
        <w:tblW w:w="5000" w:type="pct"/>
        <w:jc w:val="start"/>
        <w:tblInd w:w="-108" w:type="dxa"/>
        <w:tblLayout w:type="fixed"/>
        <w:tblCellMar>
          <w:top w:w="0" w:type="dxa"/>
          <w:start w:w="108" w:type="dxa"/>
          <w:bottom w:w="0" w:type="dxa"/>
          <w:end w:w="108" w:type="dxa"/>
        </w:tblCellMar>
      </w:tblPr>
      <w:tblGrid>
        <w:gridCol w:w="2498"/>
        <w:gridCol w:w="2499"/>
        <w:gridCol w:w="2498"/>
        <w:gridCol w:w="2499"/>
      </w:tblGrid>
      <w:tr>
        <w:trPr>
          <w:tblHeader w:val="true"/>
        </w:trPr>
        <w:tc>
          <w:tcPr>
            <w:tcW w:w="2498" w:type="dxa"/>
            <w:tcBorders/>
            <w:shd w:fill="D9E2F3" w:val="clear"/>
          </w:tcPr>
          <w:p>
            <w:pPr>
              <w:pStyle w:val="Normal"/>
              <w:spacing w:before="0" w:after="60"/>
              <w:rPr>
                <w:b/>
              </w:rPr>
            </w:pPr>
            <w:r>
              <w:rPr>
                <w:b/>
              </w:rPr>
              <w:t>Column 1</w:t>
            </w:r>
          </w:p>
        </w:tc>
        <w:tc>
          <w:tcPr>
            <w:tcW w:w="2499" w:type="dxa"/>
            <w:tcBorders/>
            <w:shd w:fill="D9E2F3" w:val="clear"/>
          </w:tcPr>
          <w:p>
            <w:pPr>
              <w:pStyle w:val="Normal"/>
              <w:spacing w:before="0" w:after="60"/>
              <w:rPr>
                <w:b/>
              </w:rPr>
            </w:pPr>
            <w:r>
              <w:rPr>
                <w:b/>
              </w:rPr>
              <w:t>Column 2</w:t>
            </w:r>
          </w:p>
        </w:tc>
        <w:tc>
          <w:tcPr>
            <w:tcW w:w="2498" w:type="dxa"/>
            <w:tcBorders/>
            <w:shd w:fill="D9E2F3" w:val="clear"/>
          </w:tcPr>
          <w:p>
            <w:pPr>
              <w:pStyle w:val="Normal"/>
              <w:spacing w:before="0" w:after="60"/>
              <w:rPr>
                <w:b/>
              </w:rPr>
            </w:pPr>
            <w:r>
              <w:rPr>
                <w:b/>
              </w:rPr>
              <w:t>Column 3</w:t>
            </w:r>
          </w:p>
        </w:tc>
        <w:tc>
          <w:tcPr>
            <w:tcW w:w="2499" w:type="dxa"/>
            <w:tcBorders/>
            <w:shd w:fill="D9E2F3" w:val="clear"/>
          </w:tcPr>
          <w:p>
            <w:pPr>
              <w:pStyle w:val="Normal"/>
              <w:spacing w:before="0" w:after="60"/>
              <w:rPr>
                <w:b/>
              </w:rPr>
            </w:pPr>
            <w:r>
              <w:rPr>
                <w:b/>
              </w:rPr>
              <w:t>Column 4</w:t>
            </w:r>
          </w:p>
        </w:tc>
      </w:tr>
    </w:tbl>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cantSplit w:val="true"/>
          <w:tblHeader/>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Normal"/>
        <w:rPr>
          <w:b w:val="false"/>
          <w:i w:val="false"/>
          <w:i w:val="false"/>
        </w:rPr>
      </w:pPr>
      <w:r>
        <w:rPr>
          <w:b w:val="false"/>
          <w:i w:val="false"/>
        </w:rPr>
        <w:t>B =</w:t>
      </w:r>
    </w:p>
    <w:tbl>
      <w:tblPr>
        <w:tblW w:w="5000" w:type="pct"/>
        <w:jc w:val="start"/>
        <w:tblInd w:w="-108" w:type="dxa"/>
        <w:tblLayout w:type="fixed"/>
        <w:tblCellMar>
          <w:top w:w="0" w:type="dxa"/>
          <w:start w:w="108" w:type="dxa"/>
          <w:bottom w:w="0" w:type="dxa"/>
          <w:end w:w="108" w:type="dxa"/>
        </w:tblCellMar>
      </w:tblPr>
      <w:tblGrid>
        <w:gridCol w:w="9994"/>
      </w:tblGrid>
      <w:tr>
        <w:trPr>
          <w:tblHeader w:val="true"/>
        </w:trPr>
        <w:tc>
          <w:tcPr>
            <w:tcW w:w="9994" w:type="dxa"/>
            <w:tcBorders/>
            <w:shd w:fill="D9E2F3" w:val="clear"/>
          </w:tcPr>
          <w:p>
            <w:pPr>
              <w:pStyle w:val="Normal"/>
              <w:spacing w:before="0" w:after="60"/>
              <w:rPr>
                <w:b/>
              </w:rPr>
            </w:pPr>
            <w:r>
              <w:rPr>
                <w:b/>
              </w:rPr>
              <w:t>Entry</w:t>
            </w:r>
          </w:p>
        </w:tc>
      </w:tr>
    </w:tbl>
    <w:tbl>
      <w:tblPr>
        <w:tblW w:w="9994" w:type="dxa"/>
        <w:jc w:val="center"/>
        <w:tblInd w:w="0" w:type="dxa"/>
        <w:tblLayout w:type="fixed"/>
        <w:tblCellMar>
          <w:top w:w="55" w:type="dxa"/>
          <w:start w:w="55" w:type="dxa"/>
          <w:bottom w:w="55" w:type="dxa"/>
          <w:end w:w="55" w:type="dxa"/>
        </w:tblCellMar>
      </w:tblPr>
      <w:tblGrid>
        <w:gridCol w:w="9994"/>
      </w:tblGrid>
      <w:tr>
        <w:trPr>
          <w:cantSplit w:val="true"/>
          <w:tblHeader/>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Normal"/>
        <w:rPr>
          <w:b w:val="false"/>
          <w:i w:val="false"/>
          <w:i w:val="false"/>
        </w:rPr>
      </w:pPr>
      <w:r>
        <w:rPr>
          <w:b w:val="false"/>
          <w:i w:val="false"/>
        </w:rPr>
        <w:t>C =</w:t>
      </w:r>
    </w:p>
    <w:tbl>
      <w:tblPr>
        <w:tblW w:w="5000" w:type="pct"/>
        <w:jc w:val="start"/>
        <w:tblInd w:w="-108" w:type="dxa"/>
        <w:tblLayout w:type="fixed"/>
        <w:tblCellMar>
          <w:top w:w="0" w:type="dxa"/>
          <w:start w:w="108" w:type="dxa"/>
          <w:bottom w:w="0" w:type="dxa"/>
          <w:end w:w="108" w:type="dxa"/>
        </w:tblCellMar>
      </w:tblPr>
      <w:tblGrid>
        <w:gridCol w:w="2498"/>
        <w:gridCol w:w="2499"/>
        <w:gridCol w:w="2498"/>
        <w:gridCol w:w="2499"/>
      </w:tblGrid>
      <w:tr>
        <w:trPr>
          <w:tblHeader w:val="true"/>
        </w:trPr>
        <w:tc>
          <w:tcPr>
            <w:tcW w:w="2498" w:type="dxa"/>
            <w:tcBorders/>
            <w:shd w:fill="D9E2F3" w:val="clear"/>
          </w:tcPr>
          <w:p>
            <w:pPr>
              <w:pStyle w:val="Normal"/>
              <w:spacing w:before="0" w:after="60"/>
              <w:rPr>
                <w:b/>
              </w:rPr>
            </w:pPr>
            <w:r>
              <w:rPr>
                <w:b/>
              </w:rPr>
              <w:t>Column 1</w:t>
            </w:r>
          </w:p>
        </w:tc>
        <w:tc>
          <w:tcPr>
            <w:tcW w:w="2499" w:type="dxa"/>
            <w:tcBorders/>
            <w:shd w:fill="D9E2F3" w:val="clear"/>
          </w:tcPr>
          <w:p>
            <w:pPr>
              <w:pStyle w:val="Normal"/>
              <w:spacing w:before="0" w:after="60"/>
              <w:rPr>
                <w:b/>
              </w:rPr>
            </w:pPr>
            <w:r>
              <w:rPr>
                <w:b/>
              </w:rPr>
              <w:t>Column 2</w:t>
            </w:r>
          </w:p>
        </w:tc>
        <w:tc>
          <w:tcPr>
            <w:tcW w:w="2498" w:type="dxa"/>
            <w:tcBorders/>
            <w:shd w:fill="D9E2F3" w:val="clear"/>
          </w:tcPr>
          <w:p>
            <w:pPr>
              <w:pStyle w:val="Normal"/>
              <w:spacing w:before="0" w:after="60"/>
              <w:rPr>
                <w:b/>
              </w:rPr>
            </w:pPr>
            <w:r>
              <w:rPr>
                <w:b/>
              </w:rPr>
              <w:t>Column 3</w:t>
            </w:r>
          </w:p>
        </w:tc>
        <w:tc>
          <w:tcPr>
            <w:tcW w:w="2499" w:type="dxa"/>
            <w:tcBorders/>
            <w:shd w:fill="D9E2F3" w:val="clear"/>
          </w:tcPr>
          <w:p>
            <w:pPr>
              <w:pStyle w:val="Normal"/>
              <w:spacing w:before="0" w:after="60"/>
              <w:rPr>
                <w:b/>
              </w:rPr>
            </w:pPr>
            <w:r>
              <w:rPr>
                <w:b/>
              </w:rPr>
              <w:t>Column 4</w:t>
            </w:r>
          </w:p>
        </w:tc>
      </w:tr>
    </w:tbl>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cantSplit w:val="true"/>
          <w:tblHeader/>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Normal"/>
        <w:rPr>
          <w:b w:val="false"/>
          <w:i w:val="false"/>
          <w:i w:val="false"/>
        </w:rPr>
      </w:pPr>
      <w:r>
        <w:rPr>
          <w:b w:val="false"/>
          <w:i w:val="false"/>
        </w:rPr>
        <w:t>D =</w:t>
      </w:r>
    </w:p>
    <w:tbl>
      <w:tblPr>
        <w:tblW w:w="5000" w:type="pct"/>
        <w:jc w:val="start"/>
        <w:tblInd w:w="-108" w:type="dxa"/>
        <w:tblLayout w:type="fixed"/>
        <w:tblCellMar>
          <w:top w:w="0" w:type="dxa"/>
          <w:start w:w="108" w:type="dxa"/>
          <w:bottom w:w="0" w:type="dxa"/>
          <w:end w:w="108" w:type="dxa"/>
        </w:tblCellMar>
      </w:tblPr>
      <w:tblGrid>
        <w:gridCol w:w="9994"/>
      </w:tblGrid>
      <w:tr>
        <w:trPr>
          <w:tblHeader w:val="true"/>
        </w:trPr>
        <w:tc>
          <w:tcPr>
            <w:tcW w:w="9994" w:type="dxa"/>
            <w:tcBorders/>
            <w:shd w:fill="D9E2F3" w:val="clear"/>
          </w:tcPr>
          <w:p>
            <w:pPr>
              <w:pStyle w:val="Normal"/>
              <w:spacing w:before="0" w:after="60"/>
              <w:rPr>
                <w:b/>
              </w:rPr>
            </w:pPr>
            <w:r>
              <w:rPr>
                <w:b/>
              </w:rPr>
              <w:t>Entry</w:t>
            </w:r>
          </w:p>
        </w:tc>
      </w:tr>
    </w:tbl>
    <w:tbl>
      <w:tblPr>
        <w:tblW w:w="9994" w:type="dxa"/>
        <w:jc w:val="center"/>
        <w:tblInd w:w="0" w:type="dxa"/>
        <w:tblLayout w:type="fixed"/>
        <w:tblCellMar>
          <w:top w:w="55" w:type="dxa"/>
          <w:start w:w="55" w:type="dxa"/>
          <w:bottom w:w="55" w:type="dxa"/>
          <w:end w:w="55" w:type="dxa"/>
        </w:tblCellMar>
      </w:tblPr>
      <w:tblGrid>
        <w:gridCol w:w="9994"/>
      </w:tblGrid>
      <w:tr>
        <w:trPr>
          <w:cantSplit w:val="true"/>
          <w:tblHeader/>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Normal"/>
        <w:rPr/>
      </w:pPr>
      <w:r>
        <w:rPr>
          <w:b/>
        </w:rPr>
        <w:t xml:space="preserve">Open-loop poles or eigenvalues: </w:t>
      </w:r>
      <w:r>
        <w:rPr/>
        <w:t>[Enter]</w:t>
      </w:r>
    </w:p>
    <w:p>
      <w:pPr>
        <w:pStyle w:val="Normal"/>
        <w:rPr/>
      </w:pPr>
      <w:r>
        <w:rPr>
          <w:b/>
        </w:rPr>
        <w:t xml:space="preserve">Controllability matrix rank: </w:t>
      </w:r>
      <w:r>
        <w:rPr/>
        <w:t>[Enter] of 4</w:t>
      </w:r>
    </w:p>
    <w:p>
      <w:pPr>
        <w:pStyle w:val="ResponsePlaceholder"/>
        <w:rPr/>
      </w:pPr>
      <w:r>
        <w:rPr/>
        <w:t>Linearization, controllability, and pole interpretation:</w:t>
      </w:r>
    </w:p>
    <w:p>
      <w:pPr>
        <w:pStyle w:val="Heading2"/>
        <w:rPr/>
      </w:pPr>
      <w:r>
        <w:rPr/>
        <w:t>4-2: Two-State Feedback Design and Simulation</w:t>
      </w:r>
    </w:p>
    <w:p>
      <w:pPr>
        <w:pStyle w:val="Prompt"/>
        <w:rPr/>
      </w:pPr>
      <w:r>
        <w:rPr/>
        <w:t>Report the two-state feedback design and its simulated robustness limits.</w:t>
      </w:r>
    </w:p>
    <w:p>
      <w:pPr>
        <w:pStyle w:val="ListBullet"/>
        <w:numPr>
          <w:ilvl w:val="0"/>
          <w:numId w:val="2"/>
        </w:numPr>
        <w:spacing w:lineRule="auto" w:line="240" w:before="0" w:after="40"/>
        <w:contextualSpacing/>
        <w:rPr/>
      </w:pPr>
      <w:r>
        <w:rPr/>
        <w:t>Complete Table A10 with the desired poles, gains, and response observations.</w:t>
      </w:r>
    </w:p>
    <w:p>
      <w:pPr>
        <w:pStyle w:val="ListBullet"/>
        <w:numPr>
          <w:ilvl w:val="0"/>
          <w:numId w:val="2"/>
        </w:numPr>
        <w:spacing w:lineRule="auto" w:line="240" w:before="0" w:after="40"/>
        <w:contextualSpacing/>
        <w:rPr/>
      </w:pPr>
      <w:r>
        <w:rPr/>
        <w:t>Complete the two-state column of Table A12, testing δθ_p(0) and δθ̇_p(0) separately, followed by pulse and constant disturbances.</w:t>
      </w:r>
    </w:p>
    <w:p>
      <w:pPr>
        <w:pStyle w:val="ListBullet"/>
        <w:numPr>
          <w:ilvl w:val="0"/>
          <w:numId w:val="2"/>
        </w:numPr>
        <w:spacing w:lineRule="auto" w:line="240" w:before="0" w:after="40"/>
        <w:contextualSpacing/>
        <w:rPr/>
      </w:pPr>
      <w:r>
        <w:rPr/>
        <w:t>Show how the selected poles satisfy the stated design constraints and respect input saturation.</w:t>
      </w:r>
    </w:p>
    <w:p>
      <w:pPr>
        <w:pStyle w:val="ListBullet"/>
        <w:numPr>
          <w:ilvl w:val="0"/>
          <w:numId w:val="2"/>
        </w:numPr>
        <w:spacing w:lineRule="auto" w:line="240" w:before="0" w:after="40"/>
        <w:contextualSpacing/>
        <w:rPr/>
      </w:pPr>
      <w:r>
        <w:rPr/>
        <w:t>Discuss recovery speed, maximum recoverable initial conditions, disturbance response, and the rotor-speed drift under constant disturbance.</w:t>
      </w:r>
    </w:p>
    <w:tbl>
      <w:tblPr>
        <w:tblW w:w="9993" w:type="dxa"/>
        <w:jc w:val="center"/>
        <w:tblInd w:w="0" w:type="dxa"/>
        <w:tblLayout w:type="fixed"/>
        <w:tblCellMar>
          <w:top w:w="55" w:type="dxa"/>
          <w:start w:w="55" w:type="dxa"/>
          <w:bottom w:w="55" w:type="dxa"/>
          <w:end w:w="55" w:type="dxa"/>
        </w:tblCellMar>
      </w:tblPr>
      <w:tblGrid>
        <w:gridCol w:w="3331"/>
        <w:gridCol w:w="3331"/>
        <w:gridCol w:w="3331"/>
      </w:tblGrid>
      <w:tr>
        <w:trPr>
          <w:tblHeader w:val="true"/>
          <w:cantSplit w:val="true"/>
        </w:trPr>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Two-state design item</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Value</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Comments</w:t>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Desired poles</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K gains</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7"/>
                <w:szCs w:val="22"/>
                <w:lang w:bidi="ar-SA"/>
              </w:rPr>
              <w:t>Maximum θ</w:t>
            </w:r>
            <w:r>
              <w:rPr>
                <w:rFonts w:eastAsia="Arial"/>
                <w:b/>
                <w:kern w:val="0"/>
                <w:sz w:val="17"/>
                <w:szCs w:val="22"/>
                <w:vertAlign w:val="subscript"/>
                <w:lang w:bidi="ar-SA"/>
              </w:rPr>
              <w:t>p</w:t>
            </w:r>
            <w:r>
              <w:rPr>
                <w:rFonts w:eastAsia="Arial"/>
                <w:b/>
                <w:kern w:val="0"/>
                <w:sz w:val="17"/>
                <w:szCs w:val="22"/>
                <w:lang w:bidi="ar-SA"/>
              </w:rPr>
              <w:t xml:space="preserve"> initial deviation</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rFonts w:eastAsia="Arial"/>
                <w:b/>
                <w:kern w:val="0"/>
                <w:sz w:val="17"/>
                <w:szCs w:val="22"/>
                <w:lang w:bidi="ar-SA"/>
              </w:rPr>
              <w:t>Maximum θ̇</w:t>
            </w:r>
            <w:r>
              <w:rPr>
                <w:rFonts w:eastAsia="Arial"/>
                <w:b/>
                <w:kern w:val="0"/>
                <w:sz w:val="17"/>
                <w:szCs w:val="22"/>
                <w:vertAlign w:val="subscript"/>
                <w:lang w:bidi="ar-SA"/>
              </w:rPr>
              <w:t>p</w:t>
            </w:r>
            <w:r>
              <w:rPr>
                <w:rFonts w:eastAsia="Arial"/>
                <w:b/>
                <w:kern w:val="0"/>
                <w:sz w:val="17"/>
                <w:szCs w:val="22"/>
                <w:lang w:bidi="ar-SA"/>
              </w:rPr>
              <w:t xml:space="preserve"> initial deviation</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Rotor-speed behavior under constant disturbance</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A10. Question 4-2 two-state feedback results.</w:t>
      </w:r>
    </w:p>
    <w:p>
      <w:pPr>
        <w:pStyle w:val="ResponsePlaceholder"/>
        <w:rPr/>
      </w:pPr>
      <w:r>
        <w:rPr/>
        <w:t>Two-state feedback analysis:</w:t>
      </w:r>
    </w:p>
    <w:p>
      <w:pPr>
        <w:pStyle w:val="Heading2"/>
        <w:rPr/>
      </w:pPr>
      <w:r>
        <w:rPr/>
        <w:t>4-3: Three-State Feedback Design and Simulation</w:t>
      </w:r>
    </w:p>
    <w:p>
      <w:pPr>
        <w:pStyle w:val="Prompt"/>
        <w:rPr/>
      </w:pPr>
      <w:r>
        <w:rPr/>
        <w:t>Report the three-state feedback design and compare it with the two-state controller.</w:t>
      </w:r>
    </w:p>
    <w:p>
      <w:pPr>
        <w:pStyle w:val="ListBullet"/>
        <w:numPr>
          <w:ilvl w:val="0"/>
          <w:numId w:val="2"/>
        </w:numPr>
        <w:spacing w:lineRule="auto" w:line="240" w:before="0" w:after="40"/>
        <w:contextualSpacing/>
        <w:rPr/>
      </w:pPr>
      <w:r>
        <w:rPr/>
        <w:t>Complete Table A11 with the desired poles, gains, retained zero pole, and simulation summary.</w:t>
      </w:r>
    </w:p>
    <w:p>
      <w:pPr>
        <w:pStyle w:val="ListBullet"/>
        <w:numPr>
          <w:ilvl w:val="0"/>
          <w:numId w:val="2"/>
        </w:numPr>
        <w:spacing w:lineRule="auto" w:line="240" w:before="0" w:after="40"/>
        <w:contextualSpacing/>
        <w:rPr/>
      </w:pPr>
      <w:r>
        <w:rPr/>
        <w:t>Complete the three-state column of Table A12 using the same separate initial-condition and disturbance tests.</w:t>
      </w:r>
    </w:p>
    <w:p>
      <w:pPr>
        <w:pStyle w:val="ListBullet"/>
        <w:numPr>
          <w:ilvl w:val="0"/>
          <w:numId w:val="2"/>
        </w:numPr>
        <w:spacing w:lineRule="auto" w:line="240" w:before="0" w:after="40"/>
        <w:contextualSpacing/>
        <w:rPr/>
      </w:pPr>
      <w:r>
        <w:rPr/>
        <w:t>Explain how rotor-velocity feedback moves the problematic mode and changes constant-disturbance behavior.</w:t>
      </w:r>
    </w:p>
    <w:p>
      <w:pPr>
        <w:pStyle w:val="ListBullet"/>
        <w:numPr>
          <w:ilvl w:val="0"/>
          <w:numId w:val="2"/>
        </w:numPr>
        <w:spacing w:lineRule="auto" w:line="240" w:before="0" w:after="40"/>
        <w:contextualSpacing/>
        <w:rPr/>
      </w:pPr>
      <w:r>
        <w:rPr/>
        <w:t>Compare robustness, response speed, control effort, and rotor-speed behavior with Question 4-2.</w:t>
      </w:r>
    </w:p>
    <w:p>
      <w:pPr>
        <w:pStyle w:val="ListBullet"/>
      </w:pPr>
      <w:r>
        <w:t>Provide the required mathematical proof that the linearized, frictionless three-state closed-loop system stabilizes the inverted equilibrium. Substitute the implemented feedback law into the reduced dynamics, show that the relevant equilibrium is the only equilibrium for the controlled states, and verify that the closed-loop poles/eigenvalues are stable.</w:t>
      </w:r>
    </w:p>
    <w:p>
      <w:pPr>
        <w:pStyle w:val="ListBullet"/>
      </w:pPr>
      <w:r>
        <w:t>Conclude explicitly that the controlled states δθp, θ̇p, and θ̇r converge to zero, so θp(t) approaches π for the linearized model.</w:t>
      </w:r>
    </w:p>
    <w:tbl>
      <w:tblPr>
        <w:tblW w:w="9993" w:type="dxa"/>
        <w:jc w:val="center"/>
        <w:tblInd w:w="0" w:type="dxa"/>
        <w:tblLayout w:type="fixed"/>
        <w:tblCellMar>
          <w:top w:w="55" w:type="dxa"/>
          <w:start w:w="55" w:type="dxa"/>
          <w:bottom w:w="55" w:type="dxa"/>
          <w:end w:w="55" w:type="dxa"/>
        </w:tblCellMar>
      </w:tblPr>
      <w:tblGrid>
        <w:gridCol w:w="3331"/>
        <w:gridCol w:w="3331"/>
        <w:gridCol w:w="3331"/>
      </w:tblGrid>
      <w:tr>
        <w:trPr>
          <w:tblHeader w:val="true"/>
          <w:cantSplit w:val="true"/>
        </w:trPr>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Three-state design item</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Value</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Comments</w:t>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Desired closed-loop poles</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K gains</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Remaining zero pole</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Simulation summary</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A11. Question 4-3 three-state feedback design.</w:t>
      </w:r>
    </w:p>
    <w:p>
      <w:pPr>
        <w:pStyle w:val="Prompt"/>
        <w:rPr/>
      </w:pPr>
      <w:r>
        <w:rPr>
          <w:b w:val="false"/>
          <w:i/>
        </w:rPr>
        <w:t>Initial-condition testing rule: perturb only one initial state at a time. First vary δθ</w:t>
      </w:r>
      <w:r>
        <w:rPr>
          <w:b w:val="false"/>
          <w:i/>
          <w:vertAlign w:val="subscript"/>
        </w:rPr>
        <w:t>p</w:t>
      </w:r>
      <w:r>
        <w:rPr>
          <w:b w:val="false"/>
          <w:i/>
        </w:rPr>
        <w:t>(0) while δθ̇</w:t>
      </w:r>
      <w:r>
        <w:rPr>
          <w:b w:val="false"/>
          <w:i/>
          <w:vertAlign w:val="subscript"/>
        </w:rPr>
        <w:t>p</w:t>
      </w:r>
      <w:r>
        <w:rPr>
          <w:b w:val="false"/>
          <w:i/>
        </w:rPr>
        <w:t>(0) = 0; then vary δθ̇</w:t>
      </w:r>
      <w:r>
        <w:rPr>
          <w:b w:val="false"/>
          <w:i/>
          <w:vertAlign w:val="subscript"/>
        </w:rPr>
        <w:t>p</w:t>
      </w:r>
      <w:r>
        <w:rPr>
          <w:b w:val="false"/>
          <w:i/>
        </w:rPr>
        <w:t>(0) while δθ</w:t>
      </w:r>
      <w:r>
        <w:rPr>
          <w:b w:val="false"/>
          <w:i/>
          <w:vertAlign w:val="subscript"/>
        </w:rPr>
        <w:t>p</w:t>
      </w:r>
      <w:r>
        <w:rPr>
          <w:b w:val="false"/>
          <w:i/>
        </w:rPr>
        <w:t>(0) = 0. Record the maximum recoverable magnitude for each controller in the separate rows below.</w:t>
      </w:r>
    </w:p>
    <w:tbl>
      <w:tblPr>
        <w:tblW w:w="9996" w:type="dxa"/>
        <w:jc w:val="center"/>
        <w:tblInd w:w="0" w:type="dxa"/>
        <w:tblLayout w:type="fixed"/>
        <w:tblCellMar>
          <w:top w:w="55" w:type="dxa"/>
          <w:start w:w="55" w:type="dxa"/>
          <w:bottom w:w="55" w:type="dxa"/>
          <w:end w:w="55" w:type="dxa"/>
        </w:tblCellMar>
      </w:tblPr>
      <w:tblGrid>
        <w:gridCol w:w="1999"/>
        <w:gridCol w:w="1999"/>
        <w:gridCol w:w="1999"/>
        <w:gridCol w:w="1999"/>
        <w:gridCol w:w="2000"/>
      </w:tblGrid>
      <w:tr>
        <w:trPr>
          <w:tblHeader w:val="true"/>
          <w:cantSplit w:val="true"/>
        </w:trPr>
        <w:tc>
          <w:tcPr>
            <w:tcW w:w="1999"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Test condition</w:t>
            </w:r>
          </w:p>
        </w:tc>
        <w:tc>
          <w:tcPr>
            <w:tcW w:w="1999"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Perturbed state or input</w:t>
            </w:r>
          </w:p>
        </w:tc>
        <w:tc>
          <w:tcPr>
            <w:tcW w:w="1999"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Two-State Feedback (4.2)</w:t>
            </w:r>
          </w:p>
        </w:tc>
        <w:tc>
          <w:tcPr>
            <w:tcW w:w="1999"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Three-State Feedback (4.3)</w:t>
            </w:r>
          </w:p>
        </w:tc>
        <w:tc>
          <w:tcPr>
            <w:tcW w:w="2000"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Observer (5.1)</w:t>
            </w:r>
          </w:p>
        </w:tc>
      </w:tr>
      <w:tr>
        <w:trPr>
          <w:cantSplit w:val="true"/>
        </w:trPr>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 xml:space="preserve">① </w:t>
            </w:r>
            <w:r>
              <w:rPr>
                <w:rFonts w:eastAsia="Arial"/>
                <w:b/>
                <w:kern w:val="0"/>
                <w:sz w:val="15"/>
                <w:szCs w:val="22"/>
                <w:lang w:bidi="ar-SA"/>
              </w:rPr>
              <w:t>Maximum IC deviation</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t>Pendulum-angle IC, δθ</w:t>
            </w:r>
            <w:r>
              <w:rPr>
                <w:kern w:val="0"/>
                <w:szCs w:val="22"/>
                <w:vertAlign w:val="subscript"/>
                <w:lang w:bidi="ar-SA"/>
              </w:rPr>
              <w:t>p</w:t>
            </w:r>
            <w:r>
              <w:rPr>
                <w:kern w:val="0"/>
                <w:szCs w:val="22"/>
                <w:lang w:bidi="ar-SA"/>
              </w:rPr>
              <w:t>(0), with δθ̇</w:t>
            </w:r>
            <w:r>
              <w:rPr>
                <w:kern w:val="0"/>
                <w:szCs w:val="22"/>
                <w:vertAlign w:val="subscript"/>
                <w:lang w:bidi="ar-SA"/>
              </w:rPr>
              <w:t>p</w:t>
            </w:r>
            <w:r>
              <w:rPr>
                <w:kern w:val="0"/>
                <w:szCs w:val="22"/>
                <w:lang w:bidi="ar-SA"/>
              </w:rPr>
              <w:t>(0) = 0 (rad)</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 xml:space="preserve">① </w:t>
            </w:r>
            <w:r>
              <w:rPr>
                <w:rFonts w:eastAsia="Arial"/>
                <w:b/>
                <w:kern w:val="0"/>
                <w:sz w:val="15"/>
                <w:szCs w:val="22"/>
                <w:lang w:bidi="ar-SA"/>
              </w:rPr>
              <w:t>Maximum IC deviation</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t>Pendulum angular-velocity IC, δθ̇</w:t>
            </w:r>
            <w:r>
              <w:rPr>
                <w:kern w:val="0"/>
                <w:szCs w:val="22"/>
                <w:vertAlign w:val="subscript"/>
                <w:lang w:bidi="ar-SA"/>
              </w:rPr>
              <w:t>p</w:t>
            </w:r>
            <w:r>
              <w:rPr>
                <w:kern w:val="0"/>
                <w:szCs w:val="22"/>
                <w:lang w:bidi="ar-SA"/>
              </w:rPr>
              <w:t>(0), with δθ</w:t>
            </w:r>
            <w:r>
              <w:rPr>
                <w:kern w:val="0"/>
                <w:szCs w:val="22"/>
                <w:vertAlign w:val="subscript"/>
                <w:lang w:bidi="ar-SA"/>
              </w:rPr>
              <w:t>p</w:t>
            </w:r>
            <w:r>
              <w:rPr>
                <w:kern w:val="0"/>
                <w:szCs w:val="22"/>
                <w:lang w:bidi="ar-SA"/>
              </w:rPr>
              <w:t>(0) = 0 (rad/s)</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 xml:space="preserve">② </w:t>
            </w:r>
            <w:r>
              <w:rPr>
                <w:rFonts w:eastAsia="Arial"/>
                <w:b/>
                <w:kern w:val="0"/>
                <w:sz w:val="15"/>
                <w:szCs w:val="22"/>
                <w:lang w:bidi="ar-SA"/>
              </w:rPr>
              <w:t>Maximum pulse</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b w:val="false"/>
                <w:i w:val="false"/>
                <w:kern w:val="0"/>
                <w:szCs w:val="22"/>
                <w:lang w:bidi="ar-SA"/>
              </w:rPr>
              <w:t>Pendulum-arm pulse amplitude, τ</w:t>
            </w:r>
            <w:r>
              <w:rPr>
                <w:b w:val="false"/>
                <w:i w:val="false"/>
                <w:kern w:val="0"/>
                <w:szCs w:val="22"/>
                <w:vertAlign w:val="subscript"/>
                <w:lang w:bidi="ar-SA"/>
              </w:rPr>
              <w:t>p</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5"/>
                <w:szCs w:val="22"/>
                <w:lang w:bidi="ar-SA"/>
              </w:rPr>
            </w:pPr>
            <w:r>
              <w:rPr>
                <w:rFonts w:eastAsia="Arial"/>
                <w:b/>
                <w:kern w:val="0"/>
                <w:sz w:val="15"/>
                <w:szCs w:val="22"/>
                <w:lang w:bidi="ar-SA"/>
              </w:rPr>
              <w:t xml:space="preserve">③ </w:t>
            </w:r>
            <w:r>
              <w:rPr>
                <w:rFonts w:eastAsia="Arial"/>
                <w:b/>
                <w:kern w:val="0"/>
                <w:sz w:val="15"/>
                <w:szCs w:val="22"/>
                <w:lang w:bidi="ar-SA"/>
              </w:rPr>
              <w:t>Maximum constant disturbance</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b w:val="false"/>
                <w:i w:val="false"/>
                <w:kern w:val="0"/>
                <w:szCs w:val="22"/>
                <w:lang w:bidi="ar-SA"/>
              </w:rPr>
              <w:t>Constant pendulum-arm disturbance, τ</w:t>
            </w:r>
            <w:r>
              <w:rPr>
                <w:b w:val="false"/>
                <w:i w:val="false"/>
                <w:kern w:val="0"/>
                <w:szCs w:val="22"/>
                <w:vertAlign w:val="subscript"/>
                <w:lang w:bidi="ar-SA"/>
              </w:rPr>
              <w:t>p</w:t>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1999"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b/>
          <w:i w:val="false"/>
        </w:rPr>
        <w:t>Table A12. Integrated robustness comparison, including separate δθ</w:t>
      </w:r>
      <w:r>
        <w:rPr>
          <w:b/>
          <w:i w:val="false"/>
          <w:vertAlign w:val="subscript"/>
        </w:rPr>
        <w:t>p</w:t>
      </w:r>
      <w:r>
        <w:rPr>
          <w:b/>
          <w:i w:val="false"/>
        </w:rPr>
        <w:t>(0) and δθ̇</w:t>
      </w:r>
      <w:r>
        <w:rPr>
          <w:b/>
          <w:i w:val="false"/>
          <w:vertAlign w:val="subscript"/>
        </w:rPr>
        <w:t>p</w:t>
      </w:r>
      <w:r>
        <w:rPr>
          <w:b/>
          <w:i w:val="false"/>
        </w:rPr>
        <w:t>(0) initial-condition limits.</w:t>
      </w:r>
    </w:p>
    <w:p>
      <w:pPr>
        <w:pStyle w:val="ResponsePlaceholder"/>
        <w:rPr/>
      </w:pPr>
      <w:r>
        <w:rPr/>
        <w:t>Two-state versus three-state comparison:</w:t>
      </w:r>
    </w:p>
    <w:p>
      <w:pPr>
        <w:pStyle w:val="Heading2"/>
        <w:rPr/>
      </w:pPr>
      <w:r>
        <w:t>4-4: Experimental Three-State Feedback Results</w:t>
      </w:r>
    </w:p>
    <w:p>
      <w:pPr>
        <w:pStyle w:val="Prompt"/>
        <w:rPr/>
      </w:pPr>
      <w:r>
        <w:rPr/>
        <w:t>Summarize the physical implementation of the final three-state controller; do not repeat the bench setup procedure.</w:t>
      </w:r>
    </w:p>
    <w:p>
      <w:pPr>
        <w:pStyle w:val="ListBullet"/>
        <w:numPr>
          <w:ilvl w:val="0"/>
          <w:numId w:val="2"/>
        </w:numPr>
        <w:spacing w:lineRule="auto" w:line="240" w:before="0" w:after="40"/>
        <w:contextualSpacing/>
        <w:rPr/>
      </w:pPr>
      <w:r>
        <w:rPr/>
        <w:t>Report the final implemented gains and velocity-estimation method.</w:t>
      </w:r>
    </w:p>
    <w:p>
      <w:pPr>
        <w:pStyle w:val="ListBullet"/>
        <w:numPr>
          <w:ilvl w:val="0"/>
          <w:numId w:val="2"/>
        </w:numPr>
        <w:spacing w:lineRule="auto" w:line="240" w:before="0" w:after="40"/>
        <w:contextualSpacing/>
        <w:rPr/>
      </w:pPr>
      <w:r>
        <w:rPr/>
        <w:t>Describe any changes made from the simulation design and explain why they were needed.</w:t>
      </w:r>
    </w:p>
    <w:p>
      <w:pPr>
        <w:pStyle w:val="ListBullet"/>
        <w:numPr>
          <w:ilvl w:val="0"/>
          <w:numId w:val="2"/>
        </w:numPr>
        <w:spacing w:lineRule="auto" w:line="240" w:before="0" w:after="40"/>
        <w:contextualSpacing/>
        <w:rPr/>
      </w:pPr>
      <w:r>
        <w:rPr/>
        <w:t>Report balance quality, rotor-speed behavior, control saturation, and observed limit-cycle behavior.</w:t>
      </w:r>
    </w:p>
    <w:p>
      <w:pPr>
        <w:pStyle w:val="ListBullet"/>
        <w:numPr>
          <w:ilvl w:val="0"/>
          <w:numId w:val="2"/>
        </w:numPr>
        <w:spacing w:lineRule="auto" w:line="240" w:before="0" w:after="40"/>
        <w:contextualSpacing/>
        <w:rPr/>
      </w:pPr>
      <w:r>
        <w:rPr/>
        <w:t>State the result of the required demonstration and reference the supporting plot or video frame when available.</w:t>
      </w:r>
    </w:p>
    <w:p>
      <w:pPr>
        <w:pStyle w:val="ResponsePlaceholder"/>
        <w:rPr/>
      </w:pPr>
      <w:r>
        <w:rPr/>
        <w:t>Experimental implementation results and discussion:</w:t>
      </w:r>
    </w:p>
    <w:p>
      <w:pPr>
        <w:pStyle w:val="Heading2"/>
        <w:rPr/>
      </w:pPr>
      <w:r>
        <w:t>4-5: Three-State Feedback with Friction Compensation</w:t>
      </w:r>
    </w:p>
    <w:p>
      <w:pPr>
        <w:pStyle w:val="Prompt"/>
        <w:rPr/>
      </w:pPr>
      <w:r>
        <w:rPr/>
        <w:t>Compare the physical three-state controller with and without friction compensation.</w:t>
      </w:r>
    </w:p>
    <w:p>
      <w:pPr>
        <w:pStyle w:val="ListBullet"/>
        <w:numPr>
          <w:ilvl w:val="0"/>
          <w:numId w:val="2"/>
        </w:numPr>
        <w:spacing w:lineRule="auto" w:line="240" w:before="0" w:after="40"/>
        <w:contextualSpacing/>
        <w:rPr/>
      </w:pPr>
      <w:r>
        <w:rPr/>
        <w:t>Complete Table A13 using observations from the two experimental cases.</w:t>
      </w:r>
    </w:p>
    <w:p>
      <w:pPr>
        <w:pStyle w:val="ListBullet"/>
        <w:numPr>
          <w:ilvl w:val="0"/>
          <w:numId w:val="2"/>
        </w:numPr>
        <w:spacing w:lineRule="auto" w:line="240" w:before="0" w:after="40"/>
        <w:contextualSpacing/>
        <w:rPr/>
      </w:pPr>
      <w:r>
        <w:rPr/>
        <w:t>Compare balance quality, limit-cycle amplitude, rotor speed, control effort, and disturbance recovery.</w:t>
      </w:r>
    </w:p>
    <w:p>
      <w:pPr>
        <w:pStyle w:val="ListBullet"/>
        <w:numPr>
          <w:ilvl w:val="0"/>
          <w:numId w:val="2"/>
        </w:numPr>
        <w:spacing w:lineRule="auto" w:line="240" w:before="0" w:after="40"/>
        <w:contextualSpacing/>
        <w:rPr/>
      </w:pPr>
      <w:r>
        <w:rPr/>
        <w:t>Explain which changes are consistent with the friction model and which indicate modeling or implementation error.</w:t>
      </w:r>
    </w:p>
    <w:p>
      <w:pPr>
        <w:pStyle w:val="ListBullet"/>
        <w:numPr>
          <w:ilvl w:val="0"/>
          <w:numId w:val="2"/>
        </w:numPr>
        <w:spacing w:lineRule="auto" w:line="240" w:before="0" w:after="40"/>
        <w:contextualSpacing/>
        <w:rPr/>
      </w:pPr>
      <w:r>
        <w:rPr/>
        <w:t>State whether compensation improved the controller overall.</w:t>
      </w:r>
    </w:p>
    <w:tbl>
      <w:tblPr>
        <w:tblW w:w="9993" w:type="dxa"/>
        <w:jc w:val="center"/>
        <w:tblInd w:w="0" w:type="dxa"/>
        <w:tblLayout w:type="fixed"/>
        <w:tblCellMar>
          <w:top w:w="55" w:type="dxa"/>
          <w:start w:w="55" w:type="dxa"/>
          <w:bottom w:w="55" w:type="dxa"/>
          <w:end w:w="55" w:type="dxa"/>
        </w:tblCellMar>
      </w:tblPr>
      <w:tblGrid>
        <w:gridCol w:w="3331"/>
        <w:gridCol w:w="3331"/>
        <w:gridCol w:w="3331"/>
      </w:tblGrid>
      <w:tr>
        <w:trPr>
          <w:tblHeader w:val="true"/>
          <w:cantSplit w:val="true"/>
        </w:trPr>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Observation</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Without friction compensation</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With friction compensation</w:t>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Balance quality or limit cycle</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Rotor speed and control effort</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Disturbance recovery</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t>Table A13. Question 4-5 friction-compensation comparison.</w:t>
      </w:r>
    </w:p>
    <w:p>
      <w:pPr>
        <w:pStyle w:val="ResponsePlaceholder"/>
        <w:rPr/>
      </w:pPr>
      <w:r>
        <w:rPr/>
        <w:t>Friction-compensation comparison and discussion:</w:t>
      </w:r>
    </w:p>
    <w:p>
      <w:pPr>
        <w:pStyle w:val="Heading2"/>
        <w:rPr/>
      </w:pPr>
      <w:r>
        <w:rPr/>
        <w:t>5-1: Full-Order Observer Design</w:t>
      </w:r>
    </w:p>
    <w:p>
      <w:pPr>
        <w:pStyle w:val="Prompt"/>
        <w:rPr/>
      </w:pPr>
      <w:r>
        <w:rPr/>
        <w:t>Present the full-order observer design used with the three-state feedback controller.</w:t>
      </w:r>
    </w:p>
    <w:p>
      <w:pPr>
        <w:pStyle w:val="ListBullet"/>
        <w:numPr>
          <w:ilvl w:val="0"/>
          <w:numId w:val="2"/>
        </w:numPr>
        <w:spacing w:lineRule="auto" w:line="240" w:before="0" w:after="40"/>
        <w:contextualSpacing/>
        <w:rPr/>
      </w:pPr>
      <w:r>
        <w:rPr/>
        <w:t>Complete Table A14 with the controller poles, selected observer poles, and verified observer eigenvalues.</w:t>
      </w:r>
    </w:p>
    <w:p>
      <w:pPr>
        <w:pStyle w:val="ListBullet"/>
        <w:numPr>
          <w:ilvl w:val="0"/>
          <w:numId w:val="2"/>
        </w:numPr>
        <w:spacing w:lineRule="auto" w:line="240" w:before="0" w:after="40"/>
        <w:contextualSpacing/>
        <w:rPr/>
      </w:pPr>
      <w:r>
        <w:rPr/>
        <w:t>Fill the Section 5.1 L matrix and state the C matrix used by the observer.</w:t>
      </w:r>
    </w:p>
    <w:p>
      <w:pPr>
        <w:pStyle w:val="ListBullet"/>
        <w:numPr>
          <w:ilvl w:val="0"/>
          <w:numId w:val="2"/>
        </w:numPr>
        <w:spacing w:lineRule="auto" w:line="240" w:before="0" w:after="40"/>
        <w:contextualSpacing/>
        <w:rPr/>
      </w:pPr>
      <w:r>
        <w:rPr/>
        <w:t>Show the place calculation conceptually and verify eig(A - LC).</w:t>
      </w:r>
    </w:p>
    <w:p>
      <w:pPr>
        <w:pStyle w:val="ListBullet"/>
        <w:numPr>
          <w:ilvl w:val="0"/>
          <w:numId w:val="2"/>
        </w:numPr>
        <w:spacing w:lineRule="auto" w:line="240" w:before="0" w:after="40"/>
        <w:contextualSpacing/>
        <w:rPr/>
      </w:pPr>
      <w:r>
        <w:rPr/>
        <w:t>Justify the observer speed relative to the controller poles and discuss the trade-off with noise and model sensitivity.</w:t>
      </w:r>
    </w:p>
    <w:p>
      <w:pPr>
        <w:pStyle w:val="ListBullet"/>
      </w:pPr>
      <w:r>
        <w:t>Explain why an observer is used in this project and why the four-state observer can be decoupled into two two-state observers; state the practical advantage of the decoupled design.</w:t>
      </w:r>
    </w:p>
    <w:p>
      <w:pPr>
        <w:pStyle w:val="ListBullet"/>
      </w:pPr>
      <w:r>
        <w:t>Prove observer convergence by defining e = x − x̂, deriving the autonomous error dynamics, identifying the equilibrium e = 0, and verifying that the observer-error poles are stable so e(t) approaches zero.</w:t>
      </w:r>
    </w:p>
    <w:tbl>
      <w:tblPr>
        <w:tblW w:w="9993" w:type="dxa"/>
        <w:jc w:val="center"/>
        <w:tblInd w:w="0" w:type="dxa"/>
        <w:tblLayout w:type="fixed"/>
        <w:tblCellMar>
          <w:top w:w="55" w:type="dxa"/>
          <w:start w:w="55" w:type="dxa"/>
          <w:bottom w:w="55" w:type="dxa"/>
          <w:end w:w="55" w:type="dxa"/>
        </w:tblCellMar>
      </w:tblPr>
      <w:tblGrid>
        <w:gridCol w:w="3331"/>
        <w:gridCol w:w="3331"/>
        <w:gridCol w:w="3331"/>
      </w:tblGrid>
      <w:tr>
        <w:trPr>
          <w:tblHeader w:val="true"/>
          <w:cantSplit w:val="true"/>
        </w:trPr>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Observer design item</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Value</w:t>
            </w:r>
          </w:p>
        </w:tc>
        <w:tc>
          <w:tcPr>
            <w:tcW w:w="3331"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Comments</w:t>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Closed-loop controller poles</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Selected observer poles</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7"/>
                <w:szCs w:val="22"/>
                <w:lang w:bidi="ar-SA"/>
              </w:rPr>
            </w:pPr>
            <w:r>
              <w:rPr>
                <w:rFonts w:eastAsia="Arial"/>
                <w:b/>
                <w:kern w:val="0"/>
                <w:sz w:val="17"/>
                <w:szCs w:val="22"/>
                <w:lang w:bidi="ar-SA"/>
              </w:rPr>
              <w:t>Verified eig(A - LC)</w:t>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3331"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A14. Question 5-1 observer pole selection.</w:t>
      </w:r>
    </w:p>
    <w:p>
      <w:pPr>
        <w:pStyle w:val="Normal"/>
        <w:rPr>
          <w:b w:val="false"/>
          <w:i w:val="false"/>
          <w:i w:val="false"/>
        </w:rPr>
      </w:pPr>
      <w:r>
        <w:rPr>
          <w:b w:val="false"/>
          <w:i w:val="false"/>
        </w:rPr>
        <w:t>L (Section 5.1) =</w:t>
      </w:r>
    </w:p>
    <w:tbl>
      <w:tblPr>
        <w:tblW w:w="5000" w:type="pct"/>
        <w:jc w:val="start"/>
        <w:tblInd w:w="-108" w:type="dxa"/>
        <w:tblLayout w:type="fixed"/>
        <w:tblCellMar>
          <w:top w:w="0" w:type="dxa"/>
          <w:start w:w="108" w:type="dxa"/>
          <w:bottom w:w="0" w:type="dxa"/>
          <w:end w:w="108" w:type="dxa"/>
        </w:tblCellMar>
      </w:tblPr>
      <w:tblGrid>
        <w:gridCol w:w="4997"/>
        <w:gridCol w:w="4997"/>
      </w:tblGrid>
      <w:tr>
        <w:trPr>
          <w:tblHeader w:val="true"/>
        </w:trPr>
        <w:tc>
          <w:tcPr>
            <w:tcW w:w="4997" w:type="dxa"/>
            <w:tcBorders/>
            <w:shd w:fill="D9E2F3" w:val="clear"/>
          </w:tcPr>
          <w:p>
            <w:pPr>
              <w:pStyle w:val="Normal"/>
              <w:spacing w:before="0" w:after="60"/>
              <w:rPr>
                <w:b/>
              </w:rPr>
            </w:pPr>
            <w:r>
              <w:rPr>
                <w:b/>
              </w:rPr>
              <w:t>Column 1</w:t>
            </w:r>
          </w:p>
        </w:tc>
        <w:tc>
          <w:tcPr>
            <w:tcW w:w="4997" w:type="dxa"/>
            <w:tcBorders/>
            <w:shd w:fill="D9E2F3" w:val="clear"/>
          </w:tcPr>
          <w:p>
            <w:pPr>
              <w:pStyle w:val="Normal"/>
              <w:spacing w:before="0" w:after="60"/>
              <w:rPr>
                <w:b/>
              </w:rPr>
            </w:pPr>
            <w:r>
              <w:rPr>
                <w:b/>
              </w:rPr>
              <w:t>Column 2</w:t>
            </w:r>
          </w:p>
        </w:tc>
      </w:tr>
    </w:tbl>
    <w:tbl>
      <w:tblPr>
        <w:tblW w:w="9994" w:type="dxa"/>
        <w:jc w:val="center"/>
        <w:tblInd w:w="0" w:type="dxa"/>
        <w:tblLayout w:type="fixed"/>
        <w:tblCellMar>
          <w:top w:w="55" w:type="dxa"/>
          <w:start w:w="55" w:type="dxa"/>
          <w:bottom w:w="55" w:type="dxa"/>
          <w:end w:w="55" w:type="dxa"/>
        </w:tblCellMar>
      </w:tblPr>
      <w:tblGrid>
        <w:gridCol w:w="4997"/>
        <w:gridCol w:w="4997"/>
      </w:tblGrid>
      <w:tr>
        <w:trPr>
          <w:cantSplit w:val="true"/>
          <w:tblHeader/>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ResponsePlaceholder"/>
        <w:rPr/>
      </w:pPr>
      <w:r>
        <w:rPr/>
        <w:t>Observer design derivation and justification:</w:t>
      </w:r>
    </w:p>
    <w:p>
      <w:pPr>
        <w:pStyle w:val="Heading2"/>
        <w:rPr/>
      </w:pPr>
      <w:r>
        <w:rPr/>
        <w:t>5-2: Observer Simulation and Robustness</w:t>
      </w:r>
    </w:p>
    <w:p>
      <w:pPr>
        <w:pStyle w:val="Prompt"/>
        <w:rPr/>
      </w:pPr>
      <w:r>
        <w:rPr/>
        <w:t>Evaluate the full-order observer in simulation and compare it with direct three-state feedback.</w:t>
      </w:r>
    </w:p>
    <w:p>
      <w:pPr>
        <w:pStyle w:val="ListBullet"/>
        <w:numPr>
          <w:ilvl w:val="0"/>
          <w:numId w:val="2"/>
        </w:numPr>
        <w:spacing w:lineRule="auto" w:line="240" w:before="0" w:after="40"/>
        <w:contextualSpacing/>
        <w:rPr/>
      </w:pPr>
      <w:r>
        <w:rPr/>
        <w:t>Complete the observer column of Table A12 for both separate initial-condition tests, the pulse test, and the constant-disturbance test.</w:t>
      </w:r>
    </w:p>
    <w:p>
      <w:pPr>
        <w:pStyle w:val="ListBullet"/>
        <w:numPr>
          <w:ilvl w:val="0"/>
          <w:numId w:val="2"/>
        </w:numPr>
        <w:spacing w:lineRule="auto" w:line="240" w:before="0" w:after="40"/>
        <w:contextualSpacing/>
        <w:rPr/>
      </w:pPr>
      <w:r>
        <w:rPr/>
        <w:t>Compare the observer-based response with the three-state controller using exact or directly estimated states.</w:t>
      </w:r>
    </w:p>
    <w:p>
      <w:pPr>
        <w:pStyle w:val="ListBullet"/>
        <w:numPr>
          <w:ilvl w:val="0"/>
          <w:numId w:val="2"/>
        </w:numPr>
        <w:spacing w:lineRule="auto" w:line="240" w:before="0" w:after="40"/>
        <w:contextualSpacing/>
        <w:rPr/>
      </w:pPr>
      <w:r>
        <w:rPr/>
        <w:t>Report the effects of varying model parameters and identify the most influential mismatches.</w:t>
      </w:r>
    </w:p>
    <w:p>
      <w:pPr>
        <w:pStyle w:val="ListBullet"/>
        <w:numPr>
          <w:ilvl w:val="0"/>
          <w:numId w:val="2"/>
        </w:numPr>
        <w:spacing w:lineRule="auto" w:line="240" w:before="0" w:after="40"/>
        <w:contextualSpacing/>
        <w:rPr/>
      </w:pPr>
      <w:r>
        <w:rPr/>
        <w:t>Explain why the Section 5.1 observer is highly sensitive despite stable observer poles.</w:t>
      </w:r>
    </w:p>
    <w:p>
      <w:pPr>
        <w:pStyle w:val="ResponsePlaceholder"/>
        <w:rPr/>
      </w:pPr>
      <w:r>
        <w:rPr/>
        <w:t>Observer robustness comparison using Table A12:</w:t>
      </w:r>
    </w:p>
    <w:p>
      <w:pPr>
        <w:pStyle w:val="ResponsePlaceholder"/>
        <w:rPr/>
      </w:pPr>
      <w:r>
        <w:rPr/>
        <w:t>Model-sensitivity analysis:</w:t>
      </w:r>
    </w:p>
    <w:p>
      <w:pPr>
        <w:pStyle w:val="Heading2"/>
        <w:rPr/>
      </w:pPr>
      <w:r>
        <w:rPr/>
        <w:t>5-3: Decoupled Observer Redesign</w:t>
      </w:r>
    </w:p>
    <w:p>
      <w:pPr>
        <w:pStyle w:val="Prompt"/>
        <w:rPr/>
      </w:pPr>
      <w:r>
        <w:rPr/>
        <w:t>Compare the original observer gain with the block-diagonal redesign and the zeroed-off-block alternative.</w:t>
      </w:r>
    </w:p>
    <w:p>
      <w:pPr>
        <w:pStyle w:val="ListBullet"/>
        <w:numPr>
          <w:ilvl w:val="0"/>
          <w:numId w:val="2"/>
        </w:numPr>
        <w:spacing w:lineRule="auto" w:line="240" w:before="0" w:after="40"/>
        <w:contextualSpacing/>
        <w:rPr/>
      </w:pPr>
      <w:r>
        <w:rPr/>
        <w:t>Fill both small L matrices, the combined L matrix, and the Section 5.1 matrix with off-block terms removed.</w:t>
      </w:r>
    </w:p>
    <w:p>
      <w:pPr>
        <w:pStyle w:val="ListBullet"/>
        <w:numPr>
          <w:ilvl w:val="0"/>
          <w:numId w:val="2"/>
        </w:numPr>
        <w:spacing w:lineRule="auto" w:line="240" w:before="0" w:after="40"/>
        <w:contextualSpacing/>
        <w:rPr/>
      </w:pPr>
      <w:r>
        <w:rPr/>
        <w:t>Complete Table A15 with eigenvalues, model sensitivity, and simulation results for all three designs.</w:t>
      </w:r>
    </w:p>
    <w:p>
      <w:pPr>
        <w:pStyle w:val="ListBullet"/>
        <w:numPr>
          <w:ilvl w:val="0"/>
          <w:numId w:val="2"/>
        </w:numPr>
        <w:spacing w:lineRule="auto" w:line="240" w:before="0" w:after="40"/>
        <w:contextualSpacing/>
        <w:rPr/>
      </w:pPr>
      <w:r>
        <w:rPr/>
        <w:t>Explain how the block-diagonal system structure motivates the redesigned observer.</w:t>
      </w:r>
    </w:p>
    <w:p>
      <w:pPr>
        <w:pStyle w:val="ListBullet"/>
        <w:numPr>
          <w:ilvl w:val="0"/>
          <w:numId w:val="2"/>
        </w:numPr>
        <w:spacing w:lineRule="auto" w:line="240" w:before="0" w:after="40"/>
        <w:contextualSpacing/>
        <w:rPr/>
      </w:pPr>
      <w:r>
        <w:rPr/>
        <w:t>Conclude whether a complete redesign is necessary or zeroing the off-block terms is sufficient.</w:t>
      </w:r>
    </w:p>
    <w:p>
      <w:pPr>
        <w:pStyle w:val="Normal"/>
        <w:rPr/>
      </w:pPr>
      <w:r>
        <w:rPr>
          <w:b w:val="false"/>
          <w:i w:val="false"/>
        </w:rPr>
        <w:t>L</w:t>
      </w:r>
      <w:r>
        <w:rPr>
          <w:b w:val="false"/>
          <w:i w:val="false"/>
          <w:vertAlign w:val="subscript"/>
        </w:rPr>
        <w:t>small</w:t>
      </w:r>
      <w:r>
        <w:rPr>
          <w:b w:val="false"/>
          <w:i w:val="false"/>
        </w:rPr>
        <w:t>,1 =</w:t>
      </w:r>
    </w:p>
    <w:tbl>
      <w:tblPr>
        <w:tblW w:w="5000" w:type="pct"/>
        <w:jc w:val="start"/>
        <w:tblInd w:w="-108" w:type="dxa"/>
        <w:tblLayout w:type="fixed"/>
        <w:tblCellMar>
          <w:top w:w="0" w:type="dxa"/>
          <w:start w:w="108" w:type="dxa"/>
          <w:bottom w:w="0" w:type="dxa"/>
          <w:end w:w="108" w:type="dxa"/>
        </w:tblCellMar>
      </w:tblPr>
      <w:tblGrid>
        <w:gridCol w:w="9994"/>
      </w:tblGrid>
      <w:tr>
        <w:trPr>
          <w:tblHeader w:val="true"/>
        </w:trPr>
        <w:tc>
          <w:tcPr>
            <w:tcW w:w="9994" w:type="dxa"/>
            <w:tcBorders/>
            <w:shd w:fill="D9E2F3" w:val="clear"/>
          </w:tcPr>
          <w:p>
            <w:pPr>
              <w:pStyle w:val="Normal"/>
              <w:spacing w:before="0" w:after="60"/>
              <w:rPr>
                <w:b/>
              </w:rPr>
            </w:pPr>
            <w:r>
              <w:rPr>
                <w:b/>
              </w:rPr>
              <w:t>Entry</w:t>
            </w:r>
          </w:p>
        </w:tc>
      </w:tr>
    </w:tbl>
    <w:tbl>
      <w:tblPr>
        <w:tblW w:w="9994" w:type="dxa"/>
        <w:jc w:val="center"/>
        <w:tblInd w:w="0" w:type="dxa"/>
        <w:tblLayout w:type="fixed"/>
        <w:tblCellMar>
          <w:top w:w="55" w:type="dxa"/>
          <w:start w:w="55" w:type="dxa"/>
          <w:bottom w:w="55" w:type="dxa"/>
          <w:end w:w="55" w:type="dxa"/>
        </w:tblCellMar>
      </w:tblPr>
      <w:tblGrid>
        <w:gridCol w:w="9994"/>
      </w:tblGrid>
      <w:tr>
        <w:trPr>
          <w:cantSplit w:val="true"/>
          <w:tblHeader/>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Normal"/>
        <w:rPr/>
      </w:pPr>
      <w:r>
        <w:rPr>
          <w:b w:val="false"/>
          <w:i w:val="false"/>
        </w:rPr>
        <w:t>L</w:t>
      </w:r>
      <w:r>
        <w:rPr>
          <w:b w:val="false"/>
          <w:i w:val="false"/>
          <w:vertAlign w:val="subscript"/>
        </w:rPr>
        <w:t>small</w:t>
      </w:r>
      <w:r>
        <w:rPr>
          <w:b w:val="false"/>
          <w:i w:val="false"/>
        </w:rPr>
        <w:t>,2 =</w:t>
      </w:r>
    </w:p>
    <w:tbl>
      <w:tblPr>
        <w:tblW w:w="5000" w:type="pct"/>
        <w:jc w:val="start"/>
        <w:tblInd w:w="-108" w:type="dxa"/>
        <w:tblLayout w:type="fixed"/>
        <w:tblCellMar>
          <w:top w:w="0" w:type="dxa"/>
          <w:start w:w="108" w:type="dxa"/>
          <w:bottom w:w="0" w:type="dxa"/>
          <w:end w:w="108" w:type="dxa"/>
        </w:tblCellMar>
      </w:tblPr>
      <w:tblGrid>
        <w:gridCol w:w="9994"/>
      </w:tblGrid>
      <w:tr>
        <w:trPr>
          <w:tblHeader w:val="true"/>
        </w:trPr>
        <w:tc>
          <w:tcPr>
            <w:tcW w:w="9994" w:type="dxa"/>
            <w:tcBorders/>
            <w:shd w:fill="D9E2F3" w:val="clear"/>
          </w:tcPr>
          <w:p>
            <w:pPr>
              <w:pStyle w:val="Normal"/>
              <w:spacing w:before="0" w:after="60"/>
              <w:rPr>
                <w:b/>
              </w:rPr>
            </w:pPr>
            <w:r>
              <w:rPr>
                <w:b/>
              </w:rPr>
              <w:t>Entry</w:t>
            </w:r>
          </w:p>
        </w:tc>
      </w:tr>
    </w:tbl>
    <w:tbl>
      <w:tblPr>
        <w:tblW w:w="9994" w:type="dxa"/>
        <w:jc w:val="center"/>
        <w:tblInd w:w="0" w:type="dxa"/>
        <w:tblLayout w:type="fixed"/>
        <w:tblCellMar>
          <w:top w:w="55" w:type="dxa"/>
          <w:start w:w="55" w:type="dxa"/>
          <w:bottom w:w="55" w:type="dxa"/>
          <w:end w:w="55" w:type="dxa"/>
        </w:tblCellMar>
      </w:tblPr>
      <w:tblGrid>
        <w:gridCol w:w="9994"/>
      </w:tblGrid>
      <w:tr>
        <w:trPr>
          <w:cantSplit w:val="true"/>
          <w:tblHeader/>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9994"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Normal"/>
        <w:rPr/>
      </w:pPr>
      <w:r>
        <w:rPr>
          <w:b w:val="false"/>
          <w:i w:val="false"/>
        </w:rPr>
        <w:t>L</w:t>
      </w:r>
      <w:r>
        <w:rPr>
          <w:b w:val="false"/>
          <w:i w:val="false"/>
          <w:vertAlign w:val="subscript"/>
        </w:rPr>
        <w:t>combined</w:t>
      </w:r>
      <w:r>
        <w:rPr>
          <w:b w:val="false"/>
          <w:i w:val="false"/>
        </w:rPr>
        <w:t xml:space="preserve"> =</w:t>
      </w:r>
    </w:p>
    <w:tbl>
      <w:tblPr>
        <w:tblW w:w="5000" w:type="pct"/>
        <w:jc w:val="start"/>
        <w:tblInd w:w="-108" w:type="dxa"/>
        <w:tblLayout w:type="fixed"/>
        <w:tblCellMar>
          <w:top w:w="0" w:type="dxa"/>
          <w:start w:w="108" w:type="dxa"/>
          <w:bottom w:w="0" w:type="dxa"/>
          <w:end w:w="108" w:type="dxa"/>
        </w:tblCellMar>
      </w:tblPr>
      <w:tblGrid>
        <w:gridCol w:w="4997"/>
        <w:gridCol w:w="4997"/>
      </w:tblGrid>
      <w:tr>
        <w:trPr>
          <w:tblHeader w:val="true"/>
        </w:trPr>
        <w:tc>
          <w:tcPr>
            <w:tcW w:w="4997" w:type="dxa"/>
            <w:tcBorders/>
            <w:shd w:fill="D9E2F3" w:val="clear"/>
          </w:tcPr>
          <w:p>
            <w:pPr>
              <w:pStyle w:val="Normal"/>
              <w:spacing w:before="0" w:after="60"/>
              <w:rPr>
                <w:b/>
              </w:rPr>
            </w:pPr>
            <w:r>
              <w:rPr>
                <w:b/>
              </w:rPr>
              <w:t>Column 1</w:t>
            </w:r>
          </w:p>
        </w:tc>
        <w:tc>
          <w:tcPr>
            <w:tcW w:w="4997" w:type="dxa"/>
            <w:tcBorders/>
            <w:shd w:fill="D9E2F3" w:val="clear"/>
          </w:tcPr>
          <w:p>
            <w:pPr>
              <w:pStyle w:val="Normal"/>
              <w:spacing w:before="0" w:after="60"/>
              <w:rPr>
                <w:b/>
              </w:rPr>
            </w:pPr>
            <w:r>
              <w:rPr>
                <w:b/>
              </w:rPr>
              <w:t>Column 2</w:t>
            </w:r>
          </w:p>
        </w:tc>
      </w:tr>
    </w:tbl>
    <w:tbl>
      <w:tblPr>
        <w:tblW w:w="9994" w:type="dxa"/>
        <w:jc w:val="center"/>
        <w:tblInd w:w="0" w:type="dxa"/>
        <w:tblLayout w:type="fixed"/>
        <w:tblCellMar>
          <w:top w:w="55" w:type="dxa"/>
          <w:start w:w="55" w:type="dxa"/>
          <w:bottom w:w="55" w:type="dxa"/>
          <w:end w:w="55" w:type="dxa"/>
        </w:tblCellMar>
      </w:tblPr>
      <w:tblGrid>
        <w:gridCol w:w="4997"/>
        <w:gridCol w:w="4997"/>
      </w:tblGrid>
      <w:tr>
        <w:trPr>
          <w:cantSplit w:val="true"/>
          <w:tblHeader/>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7"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bl>
    <w:p>
      <w:pPr>
        <w:pStyle w:val="Normal"/>
        <w:rPr/>
      </w:pPr>
      <w:r>
        <w:rPr>
          <w:b w:val="false"/>
          <w:i w:val="false"/>
        </w:rPr>
        <w:t>L</w:t>
      </w:r>
      <w:r>
        <w:rPr>
          <w:b w:val="false"/>
          <w:i w:val="false"/>
          <w:vertAlign w:val="subscript"/>
        </w:rPr>
        <w:t>5-a</w:t>
      </w:r>
      <w:r>
        <w:rPr>
          <w:b w:val="false"/>
          <w:i w:val="false"/>
        </w:rPr>
        <w:t xml:space="preserve"> with off-block-diagonal terms zeroed =</w:t>
      </w:r>
    </w:p>
    <w:tbl>
      <w:tblPr>
        <w:tblW w:w="5000" w:type="pct"/>
        <w:jc w:val="start"/>
        <w:tblInd w:w="-108" w:type="dxa"/>
        <w:tblLayout w:type="fixed"/>
        <w:tblCellMar>
          <w:top w:w="0" w:type="dxa"/>
          <w:start w:w="108" w:type="dxa"/>
          <w:bottom w:w="0" w:type="dxa"/>
          <w:end w:w="108" w:type="dxa"/>
        </w:tblCellMar>
      </w:tblPr>
      <w:tblGrid>
        <w:gridCol w:w="4997"/>
        <w:gridCol w:w="4997"/>
      </w:tblGrid>
      <w:tr>
        <w:trPr>
          <w:tblHeader w:val="true"/>
        </w:trPr>
        <w:tc>
          <w:tcPr>
            <w:tcW w:w="4997" w:type="dxa"/>
            <w:tcBorders/>
            <w:shd w:fill="D9E2F3" w:val="clear"/>
          </w:tcPr>
          <w:p>
            <w:pPr>
              <w:pStyle w:val="Normal"/>
              <w:spacing w:before="0" w:after="60"/>
              <w:rPr>
                <w:b/>
              </w:rPr>
            </w:pPr>
            <w:r>
              <w:rPr>
                <w:b/>
              </w:rPr>
              <w:t>Column 1</w:t>
            </w:r>
          </w:p>
        </w:tc>
        <w:tc>
          <w:tcPr>
            <w:tcW w:w="4997" w:type="dxa"/>
            <w:tcBorders/>
            <w:shd w:fill="D9E2F3" w:val="clear"/>
          </w:tcPr>
          <w:p>
            <w:pPr>
              <w:pStyle w:val="Normal"/>
              <w:spacing w:before="0" w:after="60"/>
              <w:rPr>
                <w:b/>
              </w:rPr>
            </w:pPr>
            <w:r>
              <w:rPr>
                <w:b/>
              </w:rPr>
              <w:t>Column 2</w:t>
            </w:r>
          </w:p>
        </w:tc>
      </w:tr>
    </w:tbl>
    <w:tbl>
      <w:tblPr>
        <w:tblW w:w="9992" w:type="dxa"/>
        <w:jc w:val="center"/>
        <w:tblInd w:w="0" w:type="dxa"/>
        <w:tblLayout w:type="fixed"/>
        <w:tblCellMar>
          <w:top w:w="55" w:type="dxa"/>
          <w:start w:w="55" w:type="dxa"/>
          <w:bottom w:w="55" w:type="dxa"/>
          <w:end w:w="55" w:type="dxa"/>
        </w:tblCellMar>
      </w:tblPr>
      <w:tblGrid>
        <w:gridCol w:w="2498"/>
        <w:gridCol w:w="2498"/>
        <w:gridCol w:w="2498"/>
        <w:gridCol w:w="2498"/>
      </w:tblGrid>
      <w:tr>
        <w:trPr>
          <w:cantSplit w:val="true"/>
          <w:tblHeader/>
        </w:trPr>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c>
          <w:tcPr>
            <w:tcW w:w="4996"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kern w:val="0"/>
                <w:sz w:val="17"/>
                <w:szCs w:val="22"/>
                <w:lang w:bidi="ar-SA"/>
              </w:rPr>
            </w:pPr>
            <w:r>
              <w:rPr>
                <w:rFonts w:eastAsia="Arial"/>
                <w:kern w:val="0"/>
                <w:sz w:val="17"/>
                <w:szCs w:val="22"/>
                <w:lang w:bidi="ar-SA"/>
              </w:rPr>
              <w:t>[Enter]</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Observer version</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Eigenvalues</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Sensitivity to model changes</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Simulation result</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Original Section 5.1 L</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Redesigned Section 5.2 L</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r>
        <w:trPr>
          <w:cantSplit w:val="true"/>
        </w:trPr>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rFonts w:ascii="Arial" w:hAnsi="Arial" w:eastAsia="Arial"/>
                <w:b/>
                <w:kern w:val="0"/>
                <w:sz w:val="16"/>
                <w:szCs w:val="22"/>
                <w:lang w:bidi="ar-SA"/>
              </w:rPr>
            </w:pPr>
            <w:r>
              <w:rPr>
                <w:rFonts w:eastAsia="Arial"/>
                <w:b/>
                <w:kern w:val="0"/>
                <w:sz w:val="16"/>
                <w:szCs w:val="22"/>
                <w:lang w:bidi="ar-SA"/>
              </w:rPr>
              <w:t>Section 5.1 L with off-block terms zeroed</w:t>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c>
          <w:tcPr>
            <w:tcW w:w="2498" w:type="dxa"/>
            <w:tcBorders>
              <w:top w:val="single" w:sz="4" w:space="0" w:color="000000"/>
              <w:start w:val="single" w:sz="4" w:space="0" w:color="000000"/>
              <w:bottom w:val="single" w:sz="4" w:space="0" w:color="000000"/>
              <w:end w:val="single" w:sz="4" w:space="0" w:color="000000"/>
            </w:tcBorders>
            <w:vAlign w:val="center"/>
          </w:tcPr>
          <w:p>
            <w:pPr>
              <w:pStyle w:val="Normal"/>
              <w:widowControl/>
              <w:spacing w:lineRule="auto" w:line="240" w:before="0" w:after="0"/>
              <w:jc w:val="start"/>
              <w:rPr>
                <w:kern w:val="0"/>
                <w:szCs w:val="22"/>
                <w:lang w:bidi="ar-SA"/>
              </w:rPr>
            </w:pPr>
            <w:r>
              <w:rPr>
                <w:kern w:val="0"/>
                <w:szCs w:val="22"/>
                <w:lang w:bidi="ar-SA"/>
              </w:rPr>
            </w:r>
          </w:p>
        </w:tc>
      </w:tr>
    </w:tbl>
    <w:p>
      <w:pPr>
        <w:pStyle w:val="Caption"/>
        <w:jc w:val="center"/>
        <w:rPr/>
      </w:pPr>
      <w:r>
        <w:rPr/>
        <w:t>Table A15. Question 5-3 observer redesign comparison.</w:t>
      </w:r>
    </w:p>
    <w:p>
      <w:pPr>
        <w:pStyle w:val="ResponsePlaceholder"/>
        <w:rPr/>
      </w:pPr>
      <w:r>
        <w:rPr/>
        <w:t>Observer redesign comparison and conclusion:</w:t>
      </w:r>
    </w:p>
    <w:p>
      <w:pPr>
        <w:pStyle w:val="Heading2"/>
        <w:rPr/>
      </w:pPr>
      <w:r>
        <w:rPr/>
        <w:t>5-4: Observer Implementation on the RWP</w:t>
      </w:r>
    </w:p>
    <w:p>
      <w:pPr>
        <w:pStyle w:val="Prompt"/>
        <w:rPr/>
      </w:pPr>
      <w:r>
        <w:rPr/>
        <w:t>Report the experimental observer-based controller and compare it with direct three-state feedback.</w:t>
      </w:r>
    </w:p>
    <w:p>
      <w:pPr>
        <w:pStyle w:val="ListBullet"/>
        <w:numPr>
          <w:ilvl w:val="0"/>
          <w:numId w:val="2"/>
        </w:numPr>
        <w:spacing w:lineRule="auto" w:line="240" w:before="0" w:after="40"/>
        <w:contextualSpacing/>
        <w:rPr/>
      </w:pPr>
      <w:r>
        <w:rPr/>
        <w:t>State which L matrix was implemented and report the final controller and observer settings.</w:t>
      </w:r>
    </w:p>
    <w:p>
      <w:pPr>
        <w:pStyle w:val="ListBullet"/>
        <w:numPr>
          <w:ilvl w:val="0"/>
          <w:numId w:val="2"/>
        </w:numPr>
        <w:spacing w:lineRule="auto" w:line="240" w:before="0" w:after="40"/>
        <w:contextualSpacing/>
        <w:rPr/>
      </w:pPr>
      <w:r>
        <w:rPr/>
        <w:t>Describe balance quality, noise sensitivity, robustness, control effort, and tuning difficulty.</w:t>
      </w:r>
    </w:p>
    <w:p>
      <w:pPr>
        <w:pStyle w:val="ListBullet"/>
        <w:numPr>
          <w:ilvl w:val="0"/>
          <w:numId w:val="2"/>
        </w:numPr>
        <w:spacing w:lineRule="auto" w:line="240" w:before="0" w:after="40"/>
        <w:contextualSpacing/>
        <w:rPr/>
      </w:pPr>
      <w:r>
        <w:rPr/>
        <w:t>Compare observer-estimated velocities with direct velocity estimates or measured behavior.</w:t>
      </w:r>
    </w:p>
    <w:p>
      <w:pPr>
        <w:pStyle w:val="ListBullet"/>
        <w:numPr>
          <w:ilvl w:val="0"/>
          <w:numId w:val="2"/>
        </w:numPr>
        <w:spacing w:lineRule="auto" w:line="240" w:before="0" w:after="40"/>
        <w:contextualSpacing/>
        <w:rPr/>
      </w:pPr>
      <w:r>
        <w:rPr/>
        <w:t>Explain why direct measurements or estimates may be more robust than a model-based observer on this apparatus.</w:t>
      </w:r>
    </w:p>
    <w:p>
      <w:pPr>
        <w:pStyle w:val="ResponsePlaceholder"/>
        <w:rPr/>
      </w:pPr>
      <w:r>
        <w:rPr/>
        <w:t>Experimental observer results and comparison:</w:t>
      </w:r>
    </w:p>
    <w:p>
      <w:pPr>
        <w:pStyle w:val="Heading2"/>
        <w:rPr/>
      </w:pPr>
      <w:r>
        <w:rPr/>
        <w:t>6-1: Up and Down Stabilizing Control</w:t>
      </w:r>
    </w:p>
    <w:p>
      <w:pPr>
        <w:pStyle w:val="Prompt"/>
        <w:rPr/>
      </w:pPr>
      <w:r>
        <w:rPr/>
        <w:t>Report the required switching-control design and the results used for the Part VI demonstration. This section supports the required 15-point Part VI demonstration.</w:t>
      </w:r>
    </w:p>
    <w:p>
      <w:pPr>
        <w:pStyle w:val="ListBullet"/>
        <w:numPr>
          <w:ilvl w:val="0"/>
          <w:numId w:val="2"/>
        </w:numPr>
        <w:spacing w:lineRule="auto" w:line="240" w:before="0" w:after="40"/>
        <w:contextualSpacing/>
        <w:rPr/>
      </w:pPr>
      <w:r>
        <w:rPr/>
        <w:t>State the up and down controller gains and the switching condition based on θ_p.</w:t>
      </w:r>
    </w:p>
    <w:p>
      <w:pPr>
        <w:pStyle w:val="ListBullet"/>
        <w:numPr>
          <w:ilvl w:val="0"/>
          <w:numId w:val="2"/>
        </w:numPr>
        <w:spacing w:lineRule="auto" w:line="240" w:before="0" w:after="40"/>
        <w:contextualSpacing/>
        <w:rPr/>
      </w:pPr>
      <w:r>
        <w:rPr/>
        <w:t>Include a block diagram and explain how switching transients were managed.</w:t>
      </w:r>
    </w:p>
    <w:p>
      <w:pPr>
        <w:pStyle w:val="ListBullet"/>
        <w:numPr>
          <w:ilvl w:val="0"/>
          <w:numId w:val="2"/>
        </w:numPr>
        <w:spacing w:lineRule="auto" w:line="240" w:before="0" w:after="40"/>
        <w:contextualSpacing/>
        <w:rPr/>
      </w:pPr>
      <w:r>
        <w:rPr/>
        <w:t>Report simulation and experimental results and compare settling in the down position with the uncontrolled pendulum.</w:t>
      </w:r>
    </w:p>
    <w:p>
      <w:pPr>
        <w:pStyle w:val="ResponsePlaceholder"/>
        <w:rPr/>
      </w:pPr>
      <w:r>
        <w:rPr/>
        <w:t>Part VI results and discussion:</w:t>
      </w:r>
    </w:p>
    <w:p>
      <w:pPr>
        <w:pStyle w:val="Heading2"/>
      </w:pPr>
      <w:r>
        <w:t>Report Conclusion — 10 points</w:t>
      </w:r>
    </w:p>
    <w:p>
      <w:pPr>
        <w:pStyle w:val="Prompt"/>
      </w:pPr>
      <w:r>
        <w:t>Compare the full-state-feedback controller and the observer-based controller using a clearly stated performance standard.</w:t>
      </w:r>
    </w:p>
    <w:p>
      <w:pPr>
        <w:pStyle w:val="ListBullet"/>
      </w:pPr>
      <w:r>
        <w:t>Define the criteria used to judge controller performance, such as robustness to initial conditions and disturbances, balance quality, rotor-speed behavior, control effort, noise sensitivity, or implementation robustness.</w:t>
      </w:r>
    </w:p>
    <w:p>
      <w:pPr>
        <w:pStyle w:val="ListBullet"/>
      </w:pPr>
      <w:r>
        <w:t>State which controller performed better under the chosen criteria and support the conclusion with numerical or experimental evidence reported earlier.</w:t>
      </w:r>
    </w:p>
    <w:p>
      <w:pPr>
        <w:pStyle w:val="ResponsePlaceholder"/>
      </w:pPr>
      <w:r>
        <w:t>Conclusion:</w:t>
      </w:r>
    </w:p>
    <w:p>
      <w:pPr>
        <w:pStyle w:val="Heading2"/>
        <w:rPr/>
      </w:pPr>
      <w:r>
        <w:rPr/>
        <w:t>7-1: Swing-Up Control — Extra Credit (+20 points)</w:t>
      </w:r>
    </w:p>
    <w:p>
      <w:pPr>
        <w:pStyle w:val="Prompt"/>
        <w:rPr/>
      </w:pPr>
      <w:r>
        <w:t>If attempted for extra credit, design and implement the nonlinear swing-up controller and report the simulation and experimental results. A successful RWP demonstration must also be shown to the TA.</w:t>
      </w:r>
    </w:p>
    <w:p>
      <w:pPr>
        <w:pStyle w:val="ListBullet"/>
        <w:numPr>
          <w:ilvl w:val="0"/>
          <w:numId w:val="2"/>
        </w:numPr>
        <w:spacing w:lineRule="auto" w:line="240" w:before="0" w:after="40"/>
        <w:contextualSpacing/>
        <w:rPr/>
      </w:pPr>
      <w:r>
        <w:rPr/>
        <w:t>Derive the energy error and state the nonlinear control law.</w:t>
      </w:r>
    </w:p>
    <w:p>
      <w:pPr>
        <w:pStyle w:val="ListBullet"/>
        <w:numPr>
          <w:ilvl w:val="0"/>
          <w:numId w:val="2"/>
        </w:numPr>
        <w:spacing w:lineRule="auto" w:line="240" w:before="0" w:after="40"/>
        <w:contextualSpacing/>
        <w:rPr/>
      </w:pPr>
      <w:r>
        <w:rPr/>
        <w:t>Explain rotor-speed limits, friction compensation, and the switching condition to the inverted controller.</w:t>
      </w:r>
    </w:p>
    <w:p>
      <w:pPr>
        <w:pStyle w:val="ListBullet"/>
        <w:numPr>
          <w:ilvl w:val="0"/>
          <w:numId w:val="2"/>
        </w:numPr>
        <w:spacing w:lineRule="auto" w:line="240" w:before="0" w:after="40"/>
        <w:contextualSpacing/>
        <w:rPr/>
      </w:pPr>
      <w:r>
        <w:t>Include simulation and experimental results and discuss unsuccessful attempts or tuning limitations.</w:t>
      </w:r>
    </w:p>
    <w:p>
      <w:pPr>
        <w:pStyle w:val="ListBullet"/>
      </w:pPr>
      <w:r>
        <w:t>Show the implemented swing-up controller to the TA on the RWP. TA verification is required for Part VII extra-credit points to be awarded.</w:t>
      </w:r>
    </w:p>
    <w:p>
      <w:pPr>
        <w:pStyle w:val="ResponsePlaceholder"/>
        <w:rPr/>
      </w:pPr>
      <w:r>
        <w:rPr/>
        <w:t>Part VII extra-credit derivation, results, and discussion:</w:t>
      </w:r>
    </w:p>
    <w:p>
      <w:pPr>
        <w:pStyle w:val="Normal"/>
        <w:rPr/>
      </w:pPr>
      <w:r>
        <w:rPr/>
      </w:r>
      <w:r>
        <w:br w:type="page"/>
      </w:r>
    </w:p>
    <w:p>
      <w:pPr>
        <w:pStyle w:val="Heading1"/>
        <w:spacing w:before="0" w:after="80"/>
        <w:rPr/>
      </w:pPr>
      <w:r>
        <w:rPr/>
        <w:t>Final Project Grading Rubric</w:t>
      </w:r>
    </w:p>
    <w:tbl>
      <w:tblPr>
        <w:tblW w:w="9992" w:type="dxa"/>
        <w:jc w:val="center"/>
        <w:tblInd w:w="0" w:type="dxa"/>
        <w:tblLayout w:type="fixed"/>
        <w:tblCellMar>
          <w:top w:w="55" w:type="dxa"/>
          <w:start w:w="55" w:type="dxa"/>
          <w:bottom w:w="55" w:type="dxa"/>
          <w:end w:w="55" w:type="dxa"/>
        </w:tblCellMa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498"/>
        <w:gridCol w:w="2498"/>
        <w:gridCol w:w="2498"/>
        <w:gridCol w:w="2498"/>
      </w:tblGrid>
      <w:tr>
        <w:trPr>
          <w:tblHeader w:val="true"/>
          <w:cantSplit w:val="true"/>
          <w:tblHeader w:val="true"/>
        </w:trPr>
        <w:tc>
          <w:tcPr>
            <w:tcW w:w="2498" w:type="dxa"/>
            <w:tcBorders>
              <w:top w:val="single" w:sz="4" w:space="0" w:color="000000"/>
              <w:start w:val="single" w:sz="4" w:space="0" w:color="000000"/>
              <w:bottom w:val="single" w:sz="4" w:space="0" w:color="000000"/>
              <w:end w:val="single" w:sz="4" w:space="0" w:color="000000"/>
            </w:tcBorders>
            <w:shd w:fill="B4C7E7" w:val="clear"/>
            <w:vAlign w:val="center"/>
            <w:tcMar>
              <w:top w:w="50" w:type="dxa"/>
              <w:start w:w="55" w:type="dxa"/>
              <w:bottom w:w="50" w:type="dxa"/>
              <w:end w:w="55" w:type="dxa"/>
            </w:tcMar>
          </w:tcPr>
          <w:p>
            <w:pPr>
              <w:spacing w:before="0" w:after="0" w:line="240" w:lineRule="auto"/>
            </w:pPr>
            <w:r>
              <w:rPr>
                <w:rFonts w:ascii="Arial" w:hAnsi="Arial"/>
                <w:b/>
                <w:sz w:val="18"/>
              </w:rPr>
              <w:t>Section</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Mar>
              <w:top w:w="50" w:type="dxa"/>
              <w:start w:w="55" w:type="dxa"/>
              <w:bottom w:w="50" w:type="dxa"/>
              <w:end w:w="55" w:type="dxa"/>
            </w:tcMar>
          </w:tcPr>
          <w:p>
            <w:pPr>
              <w:spacing w:before="0" w:after="0" w:line="240" w:lineRule="auto"/>
            </w:pPr>
            <w:r>
              <w:rPr>
                <w:rFonts w:ascii="Arial" w:hAnsi="Arial"/>
                <w:b/>
                <w:sz w:val="18"/>
              </w:rPr>
              <w:t>Maximum</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Mar>
              <w:top w:w="50" w:type="dxa"/>
              <w:start w:w="55" w:type="dxa"/>
              <w:bottom w:w="50" w:type="dxa"/>
              <w:end w:w="55" w:type="dxa"/>
            </w:tcMar>
          </w:tcPr>
          <w:p>
            <w:pPr>
              <w:spacing w:before="0" w:after="0" w:line="240" w:lineRule="auto"/>
            </w:pPr>
            <w:r>
              <w:rPr>
                <w:rFonts w:ascii="Arial" w:hAnsi="Arial"/>
                <w:b/>
                <w:sz w:val="18"/>
              </w:rPr>
              <w:t>Criterion</w:t>
            </w:r>
          </w:p>
        </w:tc>
        <w:tc>
          <w:tcPr>
            <w:tcW w:w="2498" w:type="dxa"/>
            <w:tcBorders>
              <w:top w:val="single" w:sz="4" w:space="0" w:color="000000"/>
              <w:start w:val="single" w:sz="4" w:space="0" w:color="000000"/>
              <w:bottom w:val="single" w:sz="4" w:space="0" w:color="000000"/>
              <w:end w:val="single" w:sz="4" w:space="0" w:color="000000"/>
            </w:tcBorders>
            <w:shd w:fill="B4C7E7" w:val="clear"/>
            <w:vAlign w:val="center"/>
            <w:tcMar>
              <w:top w:w="50" w:type="dxa"/>
              <w:start w:w="55" w:type="dxa"/>
              <w:bottom w:w="50" w:type="dxa"/>
              <w:end w:w="55" w:type="dxa"/>
            </w:tcMar>
          </w:tcPr>
          <w:p>
            <w:pPr>
              <w:spacing w:before="0" w:after="0" w:line="240" w:lineRule="auto"/>
            </w:pPr>
            <w:r>
              <w:rPr>
                <w:rFonts w:ascii="Arial" w:hAnsi="Arial"/>
                <w:b/>
                <w:sz w:val="18"/>
              </w:rPr>
              <w:t>Points</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9DD3E1" w:val="clear"/>
            <w:vAlign w:val="center"/>
            <w:tcMar>
              <w:top w:w="50" w:type="dxa"/>
              <w:start w:w="55" w:type="dxa"/>
              <w:bottom w:w="50" w:type="dxa"/>
              <w:end w:w="55" w:type="dxa"/>
            </w:tcMar>
          </w:tcPr>
          <w:p>
            <w:pPr>
              <w:spacing w:before="0" w:after="0" w:line="240" w:lineRule="auto"/>
            </w:pPr>
            <w:r>
              <w:rPr>
                <w:rFonts w:ascii="Arial" w:hAnsi="Arial"/>
                <w:b/>
                <w:sz w:val="18"/>
              </w:rPr>
              <w:t>Prelab</w:t>
            </w:r>
          </w:p>
        </w:tc>
        <w:tc>
          <w:tcPr>
            <w:tcW w:w="2498" w:type="dxa"/>
            <w:tcBorders>
              <w:top w:val="single" w:sz="4" w:space="0" w:color="000000"/>
              <w:start w:val="single" w:sz="4" w:space="0" w:color="000000"/>
              <w:bottom w:val="single" w:sz="4" w:space="0" w:color="000000"/>
              <w:end w:val="single" w:sz="4" w:space="0" w:color="000000"/>
            </w:tcBorders>
            <w:shd w:fill="9DD3E1" w:val="clear"/>
            <w:vAlign w:val="center"/>
            <w:tcMar>
              <w:top w:w="50" w:type="dxa"/>
              <w:start w:w="55" w:type="dxa"/>
              <w:bottom w:w="50" w:type="dxa"/>
              <w:end w:w="55" w:type="dxa"/>
            </w:tcMar>
          </w:tcPr>
          <w:p>
            <w:pPr>
              <w:spacing w:before="0" w:after="0" w:line="240" w:lineRule="auto"/>
            </w:pPr>
            <w:r>
              <w:rPr>
                <w:rFonts w:ascii="Arial" w:hAnsi="Arial"/>
                <w:sz w:val="18"/>
              </w:rPr>
              <w:t>15</w:t>
            </w:r>
          </w:p>
        </w:tc>
        <w:tc>
          <w:tcPr>
            <w:tcW w:w="2498" w:type="dxa"/>
            <w:tcBorders>
              <w:top w:val="single" w:sz="4" w:space="0" w:color="000000"/>
              <w:start w:val="single" w:sz="4" w:space="0" w:color="000000"/>
              <w:bottom w:val="single" w:sz="4" w:space="0" w:color="000000"/>
              <w:end w:val="single" w:sz="4" w:space="0" w:color="000000"/>
            </w:tcBorders>
            <w:shd w:fill="9DD3E1" w:val="clear"/>
            <w:vAlign w:val="center"/>
            <w:tcMar>
              <w:top w:w="50" w:type="dxa"/>
              <w:start w:w="55" w:type="dxa"/>
              <w:bottom w:w="50" w:type="dxa"/>
              <w:end w:w="55" w:type="dxa"/>
            </w:tcMar>
          </w:tcPr>
          <w:p>
            <w:pPr>
              <w:spacing w:before="0" w:after="0" w:line="240" w:lineRule="auto"/>
            </w:pPr>
            <w:r>
              <w:rPr>
                <w:rFonts w:ascii="Arial" w:hAnsi="Arial"/>
                <w:sz w:val="18"/>
              </w:rPr>
              <w:t>Required stability, controllability, and prelab analysis.</w:t>
            </w:r>
          </w:p>
        </w:tc>
        <w:tc>
          <w:tcPr>
            <w:tcW w:w="2498" w:type="dxa"/>
            <w:tcBorders>
              <w:top w:val="single" w:sz="4" w:space="0" w:color="000000"/>
              <w:start w:val="single" w:sz="4" w:space="0" w:color="000000"/>
              <w:bottom w:val="single" w:sz="4" w:space="0" w:color="000000"/>
              <w:end w:val="single" w:sz="4" w:space="0" w:color="000000"/>
            </w:tcBorders>
            <w:shd w:fill="9DD3E1" w:val="clear"/>
            <w:vAlign w:val="center"/>
            <w:tcMar>
              <w:top w:w="50" w:type="dxa"/>
              <w:start w:w="55" w:type="dxa"/>
              <w:bottom w:w="50" w:type="dxa"/>
              <w:end w:w="55" w:type="dxa"/>
            </w:tcMar>
          </w:tcPr>
          <w:p>
            <w:pPr>
              <w:spacing w:before="0" w:after="0" w:line="240" w:lineRule="auto"/>
            </w:pPr>
            <w:r>
              <w:rPr>
                <w:rFonts w:ascii="Arial" w:hAnsi="Arial"/>
                <w:sz w:val="18"/>
              </w:rPr>
              <w:t>15</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DDEBF7" w:val="clear"/>
            <w:vAlign w:val="center"/>
            <w:tcMar>
              <w:top w:w="50" w:type="dxa"/>
              <w:start w:w="55" w:type="dxa"/>
              <w:bottom w:w="50" w:type="dxa"/>
              <w:end w:w="55" w:type="dxa"/>
            </w:tcMar>
          </w:tcPr>
          <w:p>
            <w:pPr>
              <w:spacing w:before="0" w:after="0" w:line="240" w:lineRule="auto"/>
            </w:pPr>
            <w:r>
              <w:rPr>
                <w:rFonts w:ascii="Arial" w:hAnsi="Arial"/>
                <w:b/>
                <w:sz w:val="18"/>
              </w:rPr>
              <w:t>Demo Part II</w:t>
            </w:r>
          </w:p>
        </w:tc>
        <w:tc>
          <w:tcPr>
            <w:tcW w:w="2498" w:type="dxa"/>
            <w:tcBorders>
              <w:top w:val="single" w:sz="4" w:space="0" w:color="000000"/>
              <w:start w:val="single" w:sz="4" w:space="0" w:color="000000"/>
              <w:bottom w:val="single" w:sz="4" w:space="0" w:color="000000"/>
              <w:end w:val="single" w:sz="4" w:space="0" w:color="000000"/>
            </w:tcBorders>
            <w:shd w:fill="DDEBF7" w:val="clear"/>
            <w:vAlign w:val="center"/>
            <w:tcMar>
              <w:top w:w="50" w:type="dxa"/>
              <w:start w:w="55" w:type="dxa"/>
              <w:bottom w:w="50" w:type="dxa"/>
              <w:end w:w="55" w:type="dxa"/>
            </w:tcMar>
          </w:tcPr>
          <w:p>
            <w:pPr>
              <w:spacing w:before="0" w:after="0" w:line="240" w:lineRule="auto"/>
            </w:pPr>
            <w:r>
              <w:rPr>
                <w:rFonts w:ascii="Arial" w:hAnsi="Arial"/>
                <w:sz w:val="18"/>
              </w:rPr>
              <w:t>30</w:t>
            </w:r>
          </w:p>
        </w:tc>
        <w:tc>
          <w:tcPr>
            <w:tcW w:w="2498" w:type="dxa"/>
            <w:tcBorders>
              <w:top w:val="single" w:sz="4" w:space="0" w:color="000000"/>
              <w:start w:val="single" w:sz="4" w:space="0" w:color="000000"/>
              <w:bottom w:val="single" w:sz="4" w:space="0" w:color="000000"/>
              <w:end w:val="single" w:sz="4" w:space="0" w:color="000000"/>
            </w:tcBorders>
            <w:shd w:fill="DDEBF7" w:val="clear"/>
            <w:vAlign w:val="center"/>
            <w:tcMar>
              <w:top w:w="50" w:type="dxa"/>
              <w:start w:w="55" w:type="dxa"/>
              <w:bottom w:w="50" w:type="dxa"/>
              <w:end w:w="55" w:type="dxa"/>
            </w:tcMar>
          </w:tcPr>
          <w:p>
            <w:pPr>
              <w:spacing w:before="0" w:after="0" w:line="240" w:lineRule="auto"/>
            </w:pPr>
            <w:r>
              <w:rPr>
                <w:rFonts w:ascii="Arial" w:hAnsi="Arial"/>
                <w:sz w:val="18"/>
              </w:rPr>
              <w:t>Demonstrate the required friction-compensation cases and explain the model, gains, and block diagram.</w:t>
            </w:r>
          </w:p>
        </w:tc>
        <w:tc>
          <w:tcPr>
            <w:tcW w:w="2498" w:type="dxa"/>
            <w:tcBorders>
              <w:top w:val="single" w:sz="4" w:space="0" w:color="000000"/>
              <w:start w:val="single" w:sz="4" w:space="0" w:color="000000"/>
              <w:bottom w:val="single" w:sz="4" w:space="0" w:color="000000"/>
              <w:end w:val="single" w:sz="4" w:space="0" w:color="000000"/>
            </w:tcBorders>
            <w:shd w:fill="DDEBF7" w:val="clear"/>
            <w:vAlign w:val="center"/>
            <w:tcMar>
              <w:top w:w="50" w:type="dxa"/>
              <w:start w:w="55" w:type="dxa"/>
              <w:bottom w:w="50" w:type="dxa"/>
              <w:end w:w="55" w:type="dxa"/>
            </w:tcMar>
          </w:tcPr>
          <w:p>
            <w:pPr>
              <w:spacing w:before="0" w:after="0" w:line="240" w:lineRule="auto"/>
            </w:pPr>
            <w:r>
              <w:rPr>
                <w:rFonts w:ascii="Arial" w:hAnsi="Arial"/>
                <w:sz w:val="18"/>
              </w:rPr>
              <w:t>30</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E2F0D9" w:val="clear"/>
            <w:vAlign w:val="center"/>
            <w:tcMar>
              <w:top w:w="50" w:type="dxa"/>
              <w:start w:w="55" w:type="dxa"/>
              <w:bottom w:w="50" w:type="dxa"/>
              <w:end w:w="55" w:type="dxa"/>
            </w:tcMar>
          </w:tcPr>
          <w:p>
            <w:pPr>
              <w:spacing w:before="0" w:after="0" w:line="240" w:lineRule="auto"/>
            </w:pPr>
            <w:r>
              <w:rPr>
                <w:rFonts w:ascii="Arial" w:hAnsi="Arial"/>
                <w:b/>
                <w:sz w:val="18"/>
              </w:rPr>
              <w:t>Demo Part IV</w:t>
            </w:r>
          </w:p>
        </w:tc>
        <w:tc>
          <w:tcPr>
            <w:tcW w:w="2498" w:type="dxa"/>
            <w:tcBorders>
              <w:top w:val="single" w:sz="4" w:space="0" w:color="000000"/>
              <w:start w:val="single" w:sz="4" w:space="0" w:color="000000"/>
              <w:bottom w:val="single" w:sz="4" w:space="0" w:color="000000"/>
              <w:end w:val="single" w:sz="4" w:space="0" w:color="000000"/>
            </w:tcBorders>
            <w:shd w:fill="E2F0D9" w:val="clear"/>
            <w:vAlign w:val="center"/>
            <w:tcMar>
              <w:top w:w="50" w:type="dxa"/>
              <w:start w:w="55" w:type="dxa"/>
              <w:bottom w:w="50" w:type="dxa"/>
              <w:end w:w="55" w:type="dxa"/>
            </w:tcMar>
          </w:tcPr>
          <w:p>
            <w:pPr>
              <w:spacing w:before="0" w:after="0" w:line="240" w:lineRule="auto"/>
            </w:pPr>
            <w:r>
              <w:rPr>
                <w:rFonts w:ascii="Arial" w:hAnsi="Arial"/>
                <w:sz w:val="18"/>
              </w:rPr>
              <w:t>30</w:t>
            </w:r>
          </w:p>
        </w:tc>
        <w:tc>
          <w:tcPr>
            <w:tcW w:w="2498" w:type="dxa"/>
            <w:tcBorders>
              <w:top w:val="single" w:sz="4" w:space="0" w:color="000000"/>
              <w:start w:val="single" w:sz="4" w:space="0" w:color="000000"/>
              <w:bottom w:val="single" w:sz="4" w:space="0" w:color="000000"/>
              <w:end w:val="single" w:sz="4" w:space="0" w:color="000000"/>
            </w:tcBorders>
            <w:shd w:fill="E2F0D9" w:val="clear"/>
            <w:vAlign w:val="center"/>
            <w:tcMar>
              <w:top w:w="50" w:type="dxa"/>
              <w:start w:w="55" w:type="dxa"/>
              <w:bottom w:w="50" w:type="dxa"/>
              <w:end w:w="55" w:type="dxa"/>
            </w:tcMar>
          </w:tcPr>
          <w:p>
            <w:pPr>
              <w:spacing w:before="0" w:after="0" w:line="240" w:lineRule="auto"/>
            </w:pPr>
            <w:r>
              <w:rPr>
                <w:rFonts w:ascii="Arial" w:hAnsi="Arial"/>
                <w:sz w:val="18"/>
              </w:rPr>
              <w:t>Demonstrate three-state feedback, required disturbance tests, and the comparison with and without friction compensation.</w:t>
            </w:r>
          </w:p>
        </w:tc>
        <w:tc>
          <w:tcPr>
            <w:tcW w:w="2498" w:type="dxa"/>
            <w:tcBorders>
              <w:top w:val="single" w:sz="4" w:space="0" w:color="000000"/>
              <w:start w:val="single" w:sz="4" w:space="0" w:color="000000"/>
              <w:bottom w:val="single" w:sz="4" w:space="0" w:color="000000"/>
              <w:end w:val="single" w:sz="4" w:space="0" w:color="000000"/>
            </w:tcBorders>
            <w:shd w:fill="E2F0D9" w:val="clear"/>
            <w:vAlign w:val="center"/>
            <w:tcMar>
              <w:top w:w="50" w:type="dxa"/>
              <w:start w:w="55" w:type="dxa"/>
              <w:bottom w:w="50" w:type="dxa"/>
              <w:end w:w="55" w:type="dxa"/>
            </w:tcMar>
          </w:tcPr>
          <w:p>
            <w:pPr>
              <w:spacing w:before="0" w:after="0" w:line="240" w:lineRule="auto"/>
            </w:pPr>
            <w:r>
              <w:rPr>
                <w:rFonts w:ascii="Arial" w:hAnsi="Arial"/>
                <w:sz w:val="18"/>
              </w:rPr>
              <w:t>30</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FFF2CC" w:val="clear"/>
            <w:vAlign w:val="center"/>
            <w:tcMar>
              <w:top w:w="50" w:type="dxa"/>
              <w:start w:w="55" w:type="dxa"/>
              <w:bottom w:w="50" w:type="dxa"/>
              <w:end w:w="55" w:type="dxa"/>
            </w:tcMar>
          </w:tcPr>
          <w:p>
            <w:pPr>
              <w:spacing w:before="0" w:after="0" w:line="240" w:lineRule="auto"/>
            </w:pPr>
            <w:r>
              <w:rPr>
                <w:rFonts w:ascii="Arial" w:hAnsi="Arial"/>
                <w:b/>
                <w:sz w:val="18"/>
              </w:rPr>
              <w:t>Demo Part V</w:t>
            </w:r>
          </w:p>
        </w:tc>
        <w:tc>
          <w:tcPr>
            <w:tcW w:w="2498" w:type="dxa"/>
            <w:tcBorders>
              <w:top w:val="single" w:sz="4" w:space="0" w:color="000000"/>
              <w:start w:val="single" w:sz="4" w:space="0" w:color="000000"/>
              <w:bottom w:val="single" w:sz="4" w:space="0" w:color="000000"/>
              <w:end w:val="single" w:sz="4" w:space="0" w:color="000000"/>
            </w:tcBorders>
            <w:shd w:fill="FFF2CC" w:val="clear"/>
            <w:vAlign w:val="center"/>
            <w:tcMar>
              <w:top w:w="50" w:type="dxa"/>
              <w:start w:w="55" w:type="dxa"/>
              <w:bottom w:w="50" w:type="dxa"/>
              <w:end w:w="55" w:type="dxa"/>
            </w:tcMar>
          </w:tcPr>
          <w:p>
            <w:pPr>
              <w:spacing w:before="0" w:after="0" w:line="240" w:lineRule="auto"/>
            </w:pPr>
            <w:r>
              <w:rPr>
                <w:rFonts w:ascii="Arial" w:hAnsi="Arial"/>
                <w:sz w:val="18"/>
              </w:rPr>
              <w:t>30</w:t>
            </w:r>
          </w:p>
        </w:tc>
        <w:tc>
          <w:tcPr>
            <w:tcW w:w="2498" w:type="dxa"/>
            <w:tcBorders>
              <w:top w:val="single" w:sz="4" w:space="0" w:color="000000"/>
              <w:start w:val="single" w:sz="4" w:space="0" w:color="000000"/>
              <w:bottom w:val="single" w:sz="4" w:space="0" w:color="000000"/>
              <w:end w:val="single" w:sz="4" w:space="0" w:color="000000"/>
            </w:tcBorders>
            <w:shd w:fill="FFF2CC" w:val="clear"/>
            <w:vAlign w:val="center"/>
            <w:tcMar>
              <w:top w:w="50" w:type="dxa"/>
              <w:start w:w="55" w:type="dxa"/>
              <w:bottom w:w="50" w:type="dxa"/>
              <w:end w:w="55" w:type="dxa"/>
            </w:tcMar>
          </w:tcPr>
          <w:p>
            <w:pPr>
              <w:spacing w:before="0" w:after="0" w:line="240" w:lineRule="auto"/>
            </w:pPr>
            <w:r>
              <w:rPr>
                <w:rFonts w:ascii="Arial" w:hAnsi="Arial"/>
                <w:sz w:val="18"/>
              </w:rPr>
              <w:t>Demonstrate observer-based control and explain the implemented L matrices and the Section 5.1/5.2 observer designs.</w:t>
            </w:r>
          </w:p>
        </w:tc>
        <w:tc>
          <w:tcPr>
            <w:tcW w:w="2498" w:type="dxa"/>
            <w:tcBorders>
              <w:top w:val="single" w:sz="4" w:space="0" w:color="000000"/>
              <w:start w:val="single" w:sz="4" w:space="0" w:color="000000"/>
              <w:bottom w:val="single" w:sz="4" w:space="0" w:color="000000"/>
              <w:end w:val="single" w:sz="4" w:space="0" w:color="000000"/>
            </w:tcBorders>
            <w:shd w:fill="FFF2CC" w:val="clear"/>
            <w:vAlign w:val="center"/>
            <w:tcMar>
              <w:top w:w="50" w:type="dxa"/>
              <w:start w:w="55" w:type="dxa"/>
              <w:bottom w:w="50" w:type="dxa"/>
              <w:end w:w="55" w:type="dxa"/>
            </w:tcMar>
          </w:tcPr>
          <w:p>
            <w:pPr>
              <w:spacing w:before="0" w:after="0" w:line="240" w:lineRule="auto"/>
            </w:pPr>
            <w:r>
              <w:rPr>
                <w:rFonts w:ascii="Arial" w:hAnsi="Arial"/>
                <w:sz w:val="18"/>
              </w:rPr>
              <w:t>30</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pPr>
              <w:spacing w:before="0" w:after="0" w:line="240" w:lineRule="auto"/>
            </w:pPr>
            <w:r>
              <w:rPr>
                <w:rFonts w:ascii="Arial" w:hAnsi="Arial"/>
                <w:b/>
                <w:sz w:val="18"/>
              </w:rPr>
              <w:t>Demo Part VI</w:t>
            </w:r>
          </w:p>
        </w:tc>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pPr>
              <w:spacing w:before="0" w:after="0" w:line="240" w:lineRule="auto"/>
            </w:pPr>
            <w:r>
              <w:rPr>
                <w:rFonts w:ascii="Arial" w:hAnsi="Arial"/>
                <w:sz w:val="18"/>
              </w:rPr>
              <w:t>15</w:t>
            </w:r>
          </w:p>
        </w:tc>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pPr>
              <w:spacing w:before="0" w:after="0" w:line="240" w:lineRule="auto"/>
            </w:pPr>
            <w:r>
              <w:rPr>
                <w:rFonts w:ascii="Arial" w:hAnsi="Arial"/>
                <w:sz w:val="18"/>
              </w:rPr>
              <w:t>Demonstrate the required up/down switching controller in simulation and on the RWP; explain the gains, switching condition, and observed settling behavior.</w:t>
            </w:r>
          </w:p>
        </w:tc>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pPr>
              <w:spacing w:before="0" w:after="0" w:line="240" w:lineRule="auto"/>
            </w:pPr>
            <w:r>
              <w:rPr>
                <w:rFonts w:ascii="Arial" w:hAnsi="Arial"/>
                <w:sz w:val="18"/>
              </w:rPr>
              <w:t>15</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FCE4D6" w:val="clear"/>
            <w:vAlign w:val="center"/>
            <w:tcMar>
              <w:top w:w="50" w:type="dxa"/>
              <w:start w:w="55" w:type="dxa"/>
              <w:bottom w:w="50" w:type="dxa"/>
              <w:end w:w="55" w:type="dxa"/>
            </w:tcMar>
          </w:tcPr>
          <w:p>
            <w:pPr>
              <w:spacing w:before="0" w:after="0" w:line="240" w:lineRule="auto"/>
            </w:pPr>
            <w:r>
              <w:rPr>
                <w:rFonts w:ascii="Arial" w:hAnsi="Arial"/>
                <w:b/>
                <w:sz w:val="18"/>
              </w:rPr>
              <w:t>Report</w:t>
            </w:r>
          </w:p>
        </w:tc>
        <w:tc>
          <w:tcPr>
            <w:tcW w:w="2498" w:type="dxa"/>
            <w:tcBorders>
              <w:top w:val="single" w:sz="4" w:space="0" w:color="000000"/>
              <w:start w:val="single" w:sz="4" w:space="0" w:color="000000"/>
              <w:bottom w:val="single" w:sz="4" w:space="0" w:color="000000"/>
              <w:end w:val="single" w:sz="4" w:space="0" w:color="000000"/>
            </w:tcBorders>
            <w:shd w:fill="FCE4D6" w:val="clear"/>
            <w:vAlign w:val="center"/>
            <w:tcMar>
              <w:top w:w="50" w:type="dxa"/>
              <w:start w:w="55" w:type="dxa"/>
              <w:bottom w:w="50" w:type="dxa"/>
              <w:end w:w="55" w:type="dxa"/>
            </w:tcMar>
          </w:tcPr>
          <w:p>
            <w:pPr>
              <w:spacing w:before="0" w:after="0" w:line="240" w:lineRule="auto"/>
            </w:pPr>
            <w:r>
              <w:rPr>
                <w:rFonts w:ascii="Arial" w:hAnsi="Arial"/>
                <w:sz w:val="18"/>
              </w:rPr>
              <w:t>130</w:t>
            </w:r>
          </w:p>
        </w:tc>
        <w:tc>
          <w:tcPr>
            <w:tcW w:w="2498" w:type="dxa"/>
            <w:tcBorders>
              <w:top w:val="single" w:sz="4" w:space="0" w:color="000000"/>
              <w:start w:val="single" w:sz="4" w:space="0" w:color="000000"/>
              <w:bottom w:val="single" w:sz="4" w:space="0" w:color="000000"/>
              <w:end w:val="single" w:sz="4" w:space="0" w:color="000000"/>
            </w:tcBorders>
            <w:shd w:fill="FCE4D6" w:val="clear"/>
            <w:vAlign w:val="center"/>
            <w:tcMar>
              <w:top w:w="50" w:type="dxa"/>
              <w:start w:w="55" w:type="dxa"/>
              <w:bottom w:w="50" w:type="dxa"/>
              <w:end w:w="55" w:type="dxa"/>
            </w:tcMar>
          </w:tcPr>
          <w:p>
            <w:pPr>
              <w:spacing w:before="0" w:after="0" w:line="240" w:lineRule="auto"/>
            </w:pPr>
            <w:r>
              <w:rPr>
                <w:rFonts w:ascii="Arial" w:hAnsi="Arial"/>
                <w:sz w:val="18"/>
              </w:rPr>
              <w:t>Formal group report; see Table C2 for the detailed 130-point report breakdown.</w:t>
            </w:r>
          </w:p>
        </w:tc>
        <w:tc>
          <w:tcPr>
            <w:tcW w:w="2498" w:type="dxa"/>
            <w:tcBorders>
              <w:top w:val="single" w:sz="4" w:space="0" w:color="000000"/>
              <w:start w:val="single" w:sz="4" w:space="0" w:color="000000"/>
              <w:bottom w:val="single" w:sz="4" w:space="0" w:color="000000"/>
              <w:end w:val="single" w:sz="4" w:space="0" w:color="000000"/>
            </w:tcBorders>
            <w:shd w:fill="FCE4D6" w:val="clear"/>
            <w:vAlign w:val="center"/>
            <w:tcMar>
              <w:top w:w="50" w:type="dxa"/>
              <w:start w:w="55" w:type="dxa"/>
              <w:bottom w:w="50" w:type="dxa"/>
              <w:end w:w="55" w:type="dxa"/>
            </w:tcMar>
          </w:tcPr>
          <w:p>
            <w:pPr>
              <w:spacing w:before="0" w:after="0" w:line="240" w:lineRule="auto"/>
            </w:pPr>
            <w:r>
              <w:rPr>
                <w:rFonts w:ascii="Arial" w:hAnsi="Arial"/>
                <w:sz w:val="18"/>
              </w:rPr>
              <w:t>130</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FFD966" w:val="clear"/>
            <w:vAlign w:val="center"/>
            <w:tcMar>
              <w:top w:w="50" w:type="dxa"/>
              <w:start w:w="55" w:type="dxa"/>
              <w:bottom w:w="50" w:type="dxa"/>
              <w:end w:w="55" w:type="dxa"/>
            </w:tcMar>
          </w:tcPr>
          <w:p>
            <w:pPr>
              <w:spacing w:before="0" w:after="0" w:line="240" w:lineRule="auto"/>
            </w:pPr>
            <w:r>
              <w:rPr>
                <w:rFonts w:ascii="Arial" w:hAnsi="Arial"/>
                <w:b/>
                <w:sz w:val="18"/>
              </w:rPr>
              <w:t>Base Total</w:t>
            </w:r>
          </w:p>
        </w:tc>
        <w:tc>
          <w:tcPr>
            <w:tcW w:w="2498" w:type="dxa"/>
            <w:tcBorders>
              <w:top w:val="single" w:sz="4" w:space="0" w:color="000000"/>
              <w:start w:val="single" w:sz="4" w:space="0" w:color="000000"/>
              <w:bottom w:val="single" w:sz="4" w:space="0" w:color="000000"/>
              <w:end w:val="single" w:sz="4" w:space="0" w:color="000000"/>
            </w:tcBorders>
            <w:shd w:fill="FFD966" w:val="clear"/>
            <w:vAlign w:val="center"/>
            <w:tcMar>
              <w:top w:w="50" w:type="dxa"/>
              <w:start w:w="55" w:type="dxa"/>
              <w:bottom w:w="50" w:type="dxa"/>
              <w:end w:w="55" w:type="dxa"/>
            </w:tcMar>
          </w:tcPr>
          <w:p>
            <w:pPr>
              <w:spacing w:before="0" w:after="0" w:line="240" w:lineRule="auto"/>
            </w:pPr>
            <w:r>
              <w:rPr>
                <w:rFonts w:ascii="Arial" w:hAnsi="Arial"/>
                <w:b/>
                <w:sz w:val="18"/>
              </w:rPr>
              <w:t>250</w:t>
            </w:r>
          </w:p>
        </w:tc>
        <w:tc>
          <w:tcPr>
            <w:tcW w:w="2498" w:type="dxa"/>
            <w:tcBorders>
              <w:top w:val="single" w:sz="4" w:space="0" w:color="000000"/>
              <w:start w:val="single" w:sz="4" w:space="0" w:color="000000"/>
              <w:bottom w:val="single" w:sz="4" w:space="0" w:color="000000"/>
              <w:end w:val="single" w:sz="4" w:space="0" w:color="000000"/>
            </w:tcBorders>
            <w:shd w:fill="FFD966" w:val="clear"/>
            <w:vAlign w:val="center"/>
            <w:tcMar>
              <w:top w:w="50" w:type="dxa"/>
              <w:start w:w="55" w:type="dxa"/>
              <w:bottom w:w="50" w:type="dxa"/>
              <w:end w:w="55" w:type="dxa"/>
            </w:tcMar>
          </w:tcPr>
          <w:p>
            <w:pPr>
              <w:spacing w:before="0" w:after="0" w:line="240" w:lineRule="auto"/>
            </w:pPr>
            <w:r>
              <w:rPr>
                <w:rFonts w:ascii="Arial" w:hAnsi="Arial"/>
                <w:b/>
                <w:sz w:val="18"/>
              </w:rPr>
              <w:t>Required work total: Prelab (15) + Demo II (30) + Demo IV (30) + Demo V (30) + Demo VI (15) + Report (130).</w:t>
            </w:r>
          </w:p>
        </w:tc>
        <w:tc>
          <w:tcPr>
            <w:tcW w:w="2498" w:type="dxa"/>
            <w:tcBorders>
              <w:top w:val="single" w:sz="4" w:space="0" w:color="000000"/>
              <w:start w:val="single" w:sz="4" w:space="0" w:color="000000"/>
              <w:bottom w:val="single" w:sz="4" w:space="0" w:color="000000"/>
              <w:end w:val="single" w:sz="4" w:space="0" w:color="000000"/>
            </w:tcBorders>
            <w:shd w:fill="FFD966" w:val="clear"/>
            <w:vAlign w:val="center"/>
            <w:tcMar>
              <w:top w:w="50" w:type="dxa"/>
              <w:start w:w="55" w:type="dxa"/>
              <w:bottom w:w="50" w:type="dxa"/>
              <w:end w:w="55" w:type="dxa"/>
            </w:tcMar>
          </w:tcPr>
          <w:p>
            <w:pPr>
              <w:spacing w:before="0" w:after="0" w:line="240" w:lineRule="auto"/>
            </w:pPr>
            <w:r>
              <w:rPr>
                <w:rFonts w:ascii="Arial" w:hAnsi="Arial"/>
                <w:b/>
                <w:sz w:val="18"/>
              </w:rPr>
              <w:t>250</w:t>
            </w:r>
          </w:p>
        </w:tc>
      </w:tr>
      <w:tr>
        <w:trPr>
          <w:cantSplit w:val="true"/>
        </w:trPr>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r>
              <w:t>Extra Credit Demo Part VII</w:t>
            </w:r>
          </w:p>
        </w:tc>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r>
              <w:t>+20</w:t>
            </w:r>
          </w:p>
        </w:tc>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r>
              <w:t>Swing-up control. Demonstrate the implemented swing-up controller to the TA on the RWP; also include a concise discussion and the corresponding C2000/Simulink model in the appendix.</w:t>
            </w:r>
          </w:p>
        </w:tc>
        <w:tc>
          <w:tcPr>
            <w:tcW w:w="2498" w:type="dxa"/>
            <w:tcBorders>
              <w:top w:val="single" w:sz="4" w:space="0" w:color="000000"/>
              <w:start w:val="single" w:sz="4" w:space="0" w:color="000000"/>
              <w:bottom w:val="single" w:sz="4" w:space="0" w:color="000000"/>
              <w:end w:val="single" w:sz="4" w:space="0" w:color="000000"/>
            </w:tcBorders>
            <w:shd w:fill="E7E6E6" w:val="clear"/>
            <w:vAlign w:val="center"/>
            <w:tcMar>
              <w:top w:w="50" w:type="dxa"/>
              <w:start w:w="55" w:type="dxa"/>
              <w:bottom w:w="50" w:type="dxa"/>
              <w:end w:w="55" w:type="dxa"/>
            </w:tcMar>
          </w:tcPr>
          <w:p>
            <w:r>
              <w:t>+20</w:t>
            </w:r>
          </w:p>
        </w:tc>
      </w:tr>
    </w:tbl>
    <w:p>
      <w:pPr>
        <w:pStyle w:val="Caption"/>
        <w:spacing w:before="0" w:after="100"/>
        <w:jc w:val="center"/>
        <w:rPr/>
      </w:pPr>
      <w:r>
        <w:t>Table C1. Final project overall grading rubric.</w:t>
      </w:r>
    </w:p>
    <w:p>
      <w:r>
        <w:br/>
        <w:br w:type="page"/>
      </w:r>
    </w:p>
    <w:p>
      <w:pPr>
        <w:pStyle w:val="Heading1"/>
      </w:pPr>
      <w:r>
        <w:t>Detailed 130-Point Report Grading Breakdown</w:t>
      </w:r>
    </w:p>
    <w:p>
      <w:pPr>
        <w:pStyle w:val="Prompt"/>
      </w:pPr>
      <w:r>
        <w:t>Report format and style: one report per group; Times New Roman 11-point student-entered text; page numbers; a concise main narrative of about 5–7 pages excluding the cover page; equations, figures, and tables labeled/captioned; complete Simulink diagram printouts included. Style can only reduce the report score, with a deduction from 0 to −50 points for poor formal-report quality, excessive length, missing labels/captions, or weak section-to-section flow.</w:t>
      </w:r>
    </w:p>
    <w:tbl>
      <w:tblPr>
        <w:tblW w:type="auto" w:w="0"/>
        <w:tblLayout w:type="fixed"/>
        <w:tblLook w:firstColumn="1" w:firstRow="1" w:lastColumn="0" w:lastRow="0" w:noHBand="0" w:noVBand="1" w:val="04A0"/>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2498"/>
        <w:gridCol w:w="2498"/>
        <w:gridCol w:w="2498"/>
        <w:gridCol w:w="2498"/>
      </w:tblGrid>
      <w:tr>
        <w:trPr>
          <w:cantSplit/>
          <w:tblHeader w:val="true"/>
        </w:trPr>
        <w:tc>
          <w:tcPr>
            <w:tcW w:type="dxa" w:w="1958"/>
            <w:shd w:fill="B4C7E7" w:val="clear"/>
            <w:vAlign w:val="center"/>
            <w:tcMar>
              <w:top w:w="50" w:type="dxa"/>
              <w:start w:w="55" w:type="dxa"/>
              <w:bottom w:w="50" w:type="dxa"/>
              <w:end w:w="55" w:type="dxa"/>
            </w:tcMar>
          </w:tcPr>
          <w:p>
            <w:pPr>
              <w:spacing w:before="0" w:after="0" w:line="240" w:lineRule="auto"/>
            </w:pPr>
            <w:r>
              <w:rPr>
                <w:rFonts w:ascii="Arial" w:hAnsi="Arial"/>
                <w:b/>
                <w:sz w:val="17"/>
              </w:rPr>
              <w:t>Report section</w:t>
            </w:r>
          </w:p>
        </w:tc>
        <w:tc>
          <w:tcPr>
            <w:tcW w:type="dxa" w:w="1987"/>
            <w:shd w:fill="B4C7E7" w:val="clear"/>
            <w:vAlign w:val="center"/>
            <w:tcMar>
              <w:top w:w="50" w:type="dxa"/>
              <w:start w:w="55" w:type="dxa"/>
              <w:bottom w:w="50" w:type="dxa"/>
              <w:end w:w="55" w:type="dxa"/>
            </w:tcMar>
          </w:tcPr>
          <w:p>
            <w:pPr>
              <w:spacing w:before="0" w:after="0" w:line="240" w:lineRule="auto"/>
            </w:pPr>
            <w:r>
              <w:rPr>
                <w:rFonts w:ascii="Arial" w:hAnsi="Arial"/>
                <w:b/>
                <w:sz w:val="17"/>
              </w:rPr>
              <w:t>Subcriterion</w:t>
            </w:r>
          </w:p>
        </w:tc>
        <w:tc>
          <w:tcPr>
            <w:tcW w:type="dxa" w:w="5112"/>
            <w:shd w:fill="B4C7E7" w:val="clear"/>
            <w:vAlign w:val="center"/>
            <w:tcMar>
              <w:top w:w="50" w:type="dxa"/>
              <w:start w:w="55" w:type="dxa"/>
              <w:bottom w:w="50" w:type="dxa"/>
              <w:end w:w="55" w:type="dxa"/>
            </w:tcMar>
          </w:tcPr>
          <w:p>
            <w:pPr>
              <w:spacing w:before="0" w:after="0" w:line="240" w:lineRule="auto"/>
            </w:pPr>
            <w:r>
              <w:rPr>
                <w:rFonts w:ascii="Arial" w:hAnsi="Arial"/>
                <w:b/>
                <w:sz w:val="17"/>
              </w:rPr>
              <w:t>Required evidence</w:t>
            </w:r>
          </w:p>
        </w:tc>
        <w:tc>
          <w:tcPr>
            <w:tcW w:type="dxa" w:w="936"/>
            <w:shd w:fill="B4C7E7" w:val="clear"/>
            <w:vAlign w:val="center"/>
            <w:tcMar>
              <w:top w:w="50" w:type="dxa"/>
              <w:start w:w="55" w:type="dxa"/>
              <w:bottom w:w="50" w:type="dxa"/>
              <w:end w:w="55" w:type="dxa"/>
            </w:tcMar>
          </w:tcPr>
          <w:p>
            <w:pPr>
              <w:spacing w:before="0" w:after="0" w:line="240" w:lineRule="auto"/>
            </w:pPr>
            <w:r>
              <w:rPr>
                <w:rFonts w:ascii="Arial" w:hAnsi="Arial"/>
                <w:b/>
                <w:sz w:val="17"/>
              </w:rPr>
              <w:t>Points</w:t>
            </w:r>
          </w:p>
        </w:tc>
      </w:tr>
      <w:tr>
        <w:trPr>
          <w:cantSplit/>
        </w:trPr>
        <w:tc>
          <w:tcPr>
            <w:tcW w:type="dxa" w:w="1958"/>
            <w:shd w:fill="DDEBF7" w:val="clear"/>
            <w:vAlign w:val="center"/>
            <w:tcMar>
              <w:top w:w="50" w:type="dxa"/>
              <w:start w:w="55" w:type="dxa"/>
              <w:bottom w:w="50" w:type="dxa"/>
              <w:end w:w="55" w:type="dxa"/>
            </w:tcMar>
          </w:tcPr>
          <w:p>
            <w:pPr>
              <w:spacing w:before="0" w:after="0" w:line="240" w:lineRule="auto"/>
            </w:pPr>
            <w:r>
              <w:rPr>
                <w:rFonts w:ascii="Arial" w:hAnsi="Arial"/>
                <w:b/>
                <w:sz w:val="17"/>
              </w:rPr>
              <w:t>Introduction</w:t>
            </w:r>
          </w:p>
        </w:tc>
        <w:tc>
          <w:tcPr>
            <w:tcW w:type="dxa" w:w="1987"/>
            <w:shd w:fill="DDEBF7" w:val="clear"/>
            <w:vAlign w:val="center"/>
            <w:tcMar>
              <w:top w:w="50" w:type="dxa"/>
              <w:start w:w="55" w:type="dxa"/>
              <w:bottom w:w="50" w:type="dxa"/>
              <w:end w:w="55" w:type="dxa"/>
            </w:tcMar>
          </w:tcPr>
          <w:p>
            <w:pPr>
              <w:spacing w:before="0" w:after="0" w:line="240" w:lineRule="auto"/>
            </w:pPr>
            <w:r>
              <w:rPr>
                <w:rFonts w:ascii="Arial" w:hAnsi="Arial"/>
                <w:sz w:val="17"/>
              </w:rPr>
              <w:t>Sensors</w:t>
            </w:r>
          </w:p>
        </w:tc>
        <w:tc>
          <w:tcPr>
            <w:tcW w:type="dxa" w:w="5112"/>
            <w:shd w:fill="DDEBF7" w:val="clear"/>
            <w:vAlign w:val="center"/>
            <w:tcMar>
              <w:top w:w="50" w:type="dxa"/>
              <w:start w:w="55" w:type="dxa"/>
              <w:bottom w:w="50" w:type="dxa"/>
              <w:end w:w="55" w:type="dxa"/>
            </w:tcMar>
          </w:tcPr>
          <w:p>
            <w:pPr>
              <w:spacing w:before="0" w:after="0" w:line="240" w:lineRule="auto"/>
            </w:pPr>
            <w:r>
              <w:rPr>
                <w:rFonts w:ascii="Arial" w:hAnsi="Arial"/>
                <w:sz w:val="17"/>
              </w:rPr>
              <w:t>Identify the sensors used and state how many are used.</w:t>
            </w:r>
          </w:p>
        </w:tc>
        <w:tc>
          <w:tcPr>
            <w:tcW w:type="dxa" w:w="936"/>
            <w:shd w:fill="DDEBF7" w:val="clear"/>
            <w:vAlign w:val="center"/>
            <w:tcMar>
              <w:top w:w="50" w:type="dxa"/>
              <w:start w:w="55" w:type="dxa"/>
              <w:bottom w:w="50" w:type="dxa"/>
              <w:end w:w="55" w:type="dxa"/>
            </w:tcMar>
          </w:tcPr>
          <w:p>
            <w:pPr>
              <w:spacing w:before="0" w:after="0" w:line="240" w:lineRule="auto"/>
            </w:pPr>
            <w:r>
              <w:rPr>
                <w:rFonts w:ascii="Arial" w:hAnsi="Arial"/>
                <w:sz w:val="17"/>
              </w:rPr>
              <w:t>3</w:t>
            </w:r>
          </w:p>
        </w:tc>
      </w:tr>
      <w:tr>
        <w:trPr>
          <w:cantSplit/>
        </w:trPr>
        <w:tc>
          <w:tcPr>
            <w:tcW w:type="dxa" w:w="1958"/>
            <w:shd w:fill="DDEBF7" w:val="clear"/>
            <w:vAlign w:val="center"/>
            <w:tcMar>
              <w:top w:w="50" w:type="dxa"/>
              <w:start w:w="55" w:type="dxa"/>
              <w:bottom w:w="50" w:type="dxa"/>
              <w:end w:w="55" w:type="dxa"/>
            </w:tcMar>
          </w:tcPr>
          <w:p>
            <w:pPr>
              <w:spacing w:before="0" w:after="0" w:line="240" w:lineRule="auto"/>
            </w:pPr>
            <w:r>
              <w:rPr>
                <w:rFonts w:ascii="Arial" w:hAnsi="Arial"/>
                <w:b/>
                <w:sz w:val="17"/>
              </w:rPr>
              <w:t>Introduction</w:t>
            </w:r>
          </w:p>
        </w:tc>
        <w:tc>
          <w:tcPr>
            <w:tcW w:type="dxa" w:w="1987"/>
            <w:shd w:fill="DDEBF7" w:val="clear"/>
            <w:vAlign w:val="center"/>
            <w:tcMar>
              <w:top w:w="50" w:type="dxa"/>
              <w:start w:w="55" w:type="dxa"/>
              <w:bottom w:w="50" w:type="dxa"/>
              <w:end w:w="55" w:type="dxa"/>
            </w:tcMar>
          </w:tcPr>
          <w:p>
            <w:pPr>
              <w:spacing w:before="0" w:after="0" w:line="240" w:lineRule="auto"/>
            </w:pPr>
            <w:r>
              <w:rPr>
                <w:rFonts w:ascii="Arial" w:hAnsi="Arial"/>
                <w:sz w:val="17"/>
              </w:rPr>
              <w:t>Actuators</w:t>
            </w:r>
          </w:p>
        </w:tc>
        <w:tc>
          <w:tcPr>
            <w:tcW w:type="dxa" w:w="5112"/>
            <w:shd w:fill="DDEBF7" w:val="clear"/>
            <w:vAlign w:val="center"/>
            <w:tcMar>
              <w:top w:w="50" w:type="dxa"/>
              <w:start w:w="55" w:type="dxa"/>
              <w:bottom w:w="50" w:type="dxa"/>
              <w:end w:w="55" w:type="dxa"/>
            </w:tcMar>
          </w:tcPr>
          <w:p>
            <w:pPr>
              <w:spacing w:before="0" w:after="0" w:line="240" w:lineRule="auto"/>
            </w:pPr>
            <w:r>
              <w:rPr>
                <w:rFonts w:ascii="Arial" w:hAnsi="Arial"/>
                <w:sz w:val="17"/>
              </w:rPr>
              <w:t>Identify the actuator(s) used and state how many are used.</w:t>
            </w:r>
          </w:p>
        </w:tc>
        <w:tc>
          <w:tcPr>
            <w:tcW w:type="dxa" w:w="936"/>
            <w:shd w:fill="DDEBF7" w:val="clear"/>
            <w:vAlign w:val="center"/>
            <w:tcMar>
              <w:top w:w="50" w:type="dxa"/>
              <w:start w:w="55" w:type="dxa"/>
              <w:bottom w:w="50" w:type="dxa"/>
              <w:end w:w="55" w:type="dxa"/>
            </w:tcMar>
          </w:tcPr>
          <w:p>
            <w:pPr>
              <w:spacing w:before="0" w:after="0" w:line="240" w:lineRule="auto"/>
            </w:pPr>
            <w:r>
              <w:rPr>
                <w:rFonts w:ascii="Arial" w:hAnsi="Arial"/>
                <w:sz w:val="17"/>
              </w:rPr>
              <w:t>3</w:t>
            </w:r>
          </w:p>
        </w:tc>
      </w:tr>
      <w:tr>
        <w:trPr>
          <w:cantSplit/>
        </w:trPr>
        <w:tc>
          <w:tcPr>
            <w:tcW w:type="dxa" w:w="1958"/>
            <w:shd w:fill="DDEBF7" w:val="clear"/>
            <w:vAlign w:val="center"/>
            <w:tcMar>
              <w:top w:w="50" w:type="dxa"/>
              <w:start w:w="55" w:type="dxa"/>
              <w:bottom w:w="50" w:type="dxa"/>
              <w:end w:w="55" w:type="dxa"/>
            </w:tcMar>
          </w:tcPr>
          <w:p>
            <w:pPr>
              <w:spacing w:before="0" w:after="0" w:line="240" w:lineRule="auto"/>
            </w:pPr>
            <w:r>
              <w:rPr>
                <w:rFonts w:ascii="Arial" w:hAnsi="Arial"/>
                <w:b/>
                <w:sz w:val="17"/>
              </w:rPr>
              <w:t>Introduction</w:t>
            </w:r>
          </w:p>
        </w:tc>
        <w:tc>
          <w:tcPr>
            <w:tcW w:type="dxa" w:w="1987"/>
            <w:shd w:fill="DDEBF7" w:val="clear"/>
            <w:vAlign w:val="center"/>
            <w:tcMar>
              <w:top w:w="50" w:type="dxa"/>
              <w:start w:w="55" w:type="dxa"/>
              <w:bottom w:w="50" w:type="dxa"/>
              <w:end w:w="55" w:type="dxa"/>
            </w:tcMar>
          </w:tcPr>
          <w:p>
            <w:pPr>
              <w:spacing w:before="0" w:after="0" w:line="240" w:lineRule="auto"/>
            </w:pPr>
            <w:r>
              <w:rPr>
                <w:rFonts w:ascii="Arial" w:hAnsi="Arial"/>
                <w:sz w:val="17"/>
              </w:rPr>
              <w:t>Equilibria</w:t>
            </w:r>
          </w:p>
        </w:tc>
        <w:tc>
          <w:tcPr>
            <w:tcW w:type="dxa" w:w="5112"/>
            <w:shd w:fill="DDEBF7" w:val="clear"/>
            <w:vAlign w:val="center"/>
            <w:tcMar>
              <w:top w:w="50" w:type="dxa"/>
              <w:start w:w="55" w:type="dxa"/>
              <w:bottom w:w="50" w:type="dxa"/>
              <w:end w:w="55" w:type="dxa"/>
            </w:tcMar>
          </w:tcPr>
          <w:p>
            <w:pPr>
              <w:spacing w:before="0" w:after="0" w:line="240" w:lineRule="auto"/>
            </w:pPr>
            <w:r>
              <w:rPr>
                <w:rFonts w:ascii="Arial" w:hAnsi="Arial"/>
                <w:sz w:val="17"/>
              </w:rPr>
              <w:t>Identify the equilibrium positions and state which are stable and unstable.</w:t>
            </w:r>
          </w:p>
        </w:tc>
        <w:tc>
          <w:tcPr>
            <w:tcW w:type="dxa" w:w="936"/>
            <w:shd w:fill="DDEBF7" w:val="clear"/>
            <w:vAlign w:val="center"/>
            <w:tcMar>
              <w:top w:w="50" w:type="dxa"/>
              <w:start w:w="55" w:type="dxa"/>
              <w:bottom w:w="50" w:type="dxa"/>
              <w:end w:w="55" w:type="dxa"/>
            </w:tcMar>
          </w:tcPr>
          <w:p>
            <w:pPr>
              <w:spacing w:before="0" w:after="0" w:line="240" w:lineRule="auto"/>
            </w:pPr>
            <w:r>
              <w:rPr>
                <w:rFonts w:ascii="Arial" w:hAnsi="Arial"/>
                <w:sz w:val="17"/>
              </w:rPr>
              <w:t>3</w:t>
            </w:r>
          </w:p>
        </w:tc>
      </w:tr>
      <w:tr>
        <w:trPr>
          <w:cantSplit/>
        </w:trPr>
        <w:tc>
          <w:tcPr>
            <w:tcW w:type="dxa" w:w="1958"/>
            <w:shd w:fill="DDEBF7" w:val="clear"/>
            <w:vAlign w:val="center"/>
            <w:tcMar>
              <w:top w:w="50" w:type="dxa"/>
              <w:start w:w="55" w:type="dxa"/>
              <w:bottom w:w="50" w:type="dxa"/>
              <w:end w:w="55" w:type="dxa"/>
            </w:tcMar>
          </w:tcPr>
          <w:p>
            <w:pPr>
              <w:spacing w:before="0" w:after="0" w:line="240" w:lineRule="auto"/>
            </w:pPr>
            <w:r>
              <w:rPr>
                <w:rFonts w:ascii="Arial" w:hAnsi="Arial"/>
                <w:b/>
                <w:sz w:val="17"/>
              </w:rPr>
              <w:t>Introduction</w:t>
            </w:r>
          </w:p>
        </w:tc>
        <w:tc>
          <w:tcPr>
            <w:tcW w:type="dxa" w:w="1987"/>
            <w:shd w:fill="DDEBF7" w:val="clear"/>
            <w:vAlign w:val="center"/>
            <w:tcMar>
              <w:top w:w="50" w:type="dxa"/>
              <w:start w:w="55" w:type="dxa"/>
              <w:bottom w:w="50" w:type="dxa"/>
              <w:end w:w="55" w:type="dxa"/>
            </w:tcMar>
          </w:tcPr>
          <w:p>
            <w:pPr>
              <w:spacing w:before="0" w:after="0" w:line="240" w:lineRule="auto"/>
            </w:pPr>
            <w:r>
              <w:rPr>
                <w:rFonts w:ascii="Arial" w:hAnsi="Arial"/>
                <w:sz w:val="17"/>
              </w:rPr>
              <w:t>Implementation program</w:t>
            </w:r>
          </w:p>
        </w:tc>
        <w:tc>
          <w:tcPr>
            <w:tcW w:type="dxa" w:w="5112"/>
            <w:shd w:fill="DDEBF7" w:val="clear"/>
            <w:vAlign w:val="center"/>
            <w:tcMar>
              <w:top w:w="50" w:type="dxa"/>
              <w:start w:w="55" w:type="dxa"/>
              <w:bottom w:w="50" w:type="dxa"/>
              <w:end w:w="55" w:type="dxa"/>
            </w:tcMar>
          </w:tcPr>
          <w:p>
            <w:pPr>
              <w:spacing w:before="0" w:after="0" w:line="240" w:lineRule="auto"/>
            </w:pPr>
            <w:r>
              <w:rPr>
                <w:rFonts w:ascii="Arial" w:hAnsi="Arial"/>
                <w:sz w:val="17"/>
              </w:rPr>
              <w:t>State the program/environment used to implement the controllers.</w:t>
            </w:r>
          </w:p>
        </w:tc>
        <w:tc>
          <w:tcPr>
            <w:tcW w:type="dxa" w:w="936"/>
            <w:shd w:fill="DDEBF7" w:val="clear"/>
            <w:vAlign w:val="center"/>
            <w:tcMar>
              <w:top w:w="50" w:type="dxa"/>
              <w:start w:w="55" w:type="dxa"/>
              <w:bottom w:w="50" w:type="dxa"/>
              <w:end w:w="55" w:type="dxa"/>
            </w:tcMar>
          </w:tcPr>
          <w:p>
            <w:pPr>
              <w:spacing w:before="0" w:after="0" w:line="240" w:lineRule="auto"/>
            </w:pPr>
            <w:r>
              <w:rPr>
                <w:rFonts w:ascii="Arial" w:hAnsi="Arial"/>
                <w:sz w:val="17"/>
              </w:rPr>
              <w:t>1</w:t>
            </w:r>
          </w:p>
        </w:tc>
      </w:tr>
      <w:tr>
        <w:trPr>
          <w:cantSplit/>
        </w:trPr>
        <w:tc>
          <w:tcPr>
            <w:tcW w:type="dxa" w:w="1958"/>
            <w:shd w:fill="E2F0D9" w:val="clear"/>
            <w:vAlign w:val="center"/>
            <w:tcMar>
              <w:top w:w="50" w:type="dxa"/>
              <w:start w:w="55" w:type="dxa"/>
              <w:bottom w:w="50" w:type="dxa"/>
              <w:end w:w="55" w:type="dxa"/>
            </w:tcMar>
          </w:tcPr>
          <w:p>
            <w:pPr>
              <w:spacing w:before="0" w:after="0" w:line="240" w:lineRule="auto"/>
            </w:pPr>
            <w:r>
              <w:rPr>
                <w:rFonts w:ascii="Arial" w:hAnsi="Arial"/>
                <w:b/>
                <w:sz w:val="17"/>
              </w:rPr>
              <w:t>Mathematical Model</w:t>
            </w:r>
          </w:p>
        </w:tc>
        <w:tc>
          <w:tcPr>
            <w:tcW w:type="dxa" w:w="1987"/>
            <w:shd w:fill="E2F0D9" w:val="clear"/>
            <w:vAlign w:val="center"/>
            <w:tcMar>
              <w:top w:w="50" w:type="dxa"/>
              <w:start w:w="55" w:type="dxa"/>
              <w:bottom w:w="50" w:type="dxa"/>
              <w:end w:w="55" w:type="dxa"/>
            </w:tcMar>
          </w:tcPr>
          <w:p>
            <w:pPr>
              <w:spacing w:before="0" w:after="0" w:line="240" w:lineRule="auto"/>
            </w:pPr>
            <w:r>
              <w:rPr>
                <w:rFonts w:ascii="Arial" w:hAnsi="Arial"/>
                <w:sz w:val="17"/>
              </w:rPr>
              <w:t>Lagrangian derivation</w:t>
            </w:r>
          </w:p>
        </w:tc>
        <w:tc>
          <w:tcPr>
            <w:tcW w:type="dxa" w:w="5112"/>
            <w:shd w:fill="E2F0D9" w:val="clear"/>
            <w:vAlign w:val="center"/>
            <w:tcMar>
              <w:top w:w="50" w:type="dxa"/>
              <w:start w:w="55" w:type="dxa"/>
              <w:bottom w:w="50" w:type="dxa"/>
              <w:end w:w="55" w:type="dxa"/>
            </w:tcMar>
          </w:tcPr>
          <w:p>
            <w:pPr>
              <w:spacing w:before="0" w:after="0" w:line="240" w:lineRule="auto"/>
            </w:pPr>
            <w:r>
              <w:rPr>
                <w:rFonts w:ascii="Arial" w:hAnsi="Arial"/>
                <w:sz w:val="17"/>
              </w:rPr>
              <w:t>Derive and explain the differential equations from the Lagrangian.</w:t>
            </w:r>
          </w:p>
        </w:tc>
        <w:tc>
          <w:tcPr>
            <w:tcW w:type="dxa" w:w="936"/>
            <w:shd w:fill="E2F0D9" w:val="clear"/>
            <w:vAlign w:val="center"/>
            <w:tcMar>
              <w:top w:w="50" w:type="dxa"/>
              <w:start w:w="55" w:type="dxa"/>
              <w:bottom w:w="50" w:type="dxa"/>
              <w:end w:w="55" w:type="dxa"/>
            </w:tcMar>
          </w:tcPr>
          <w:p>
            <w:pPr>
              <w:spacing w:before="0" w:after="0" w:line="240" w:lineRule="auto"/>
            </w:pPr>
            <w:r>
              <w:rPr>
                <w:rFonts w:ascii="Arial" w:hAnsi="Arial"/>
                <w:sz w:val="17"/>
              </w:rPr>
              <w:t>5</w:t>
            </w:r>
          </w:p>
        </w:tc>
      </w:tr>
      <w:tr>
        <w:trPr>
          <w:cantSplit/>
        </w:trPr>
        <w:tc>
          <w:tcPr>
            <w:tcW w:type="dxa" w:w="1958"/>
            <w:shd w:fill="E2F0D9" w:val="clear"/>
            <w:vAlign w:val="center"/>
            <w:tcMar>
              <w:top w:w="50" w:type="dxa"/>
              <w:start w:w="55" w:type="dxa"/>
              <w:bottom w:w="50" w:type="dxa"/>
              <w:end w:w="55" w:type="dxa"/>
            </w:tcMar>
          </w:tcPr>
          <w:p>
            <w:pPr>
              <w:spacing w:before="0" w:after="0" w:line="240" w:lineRule="auto"/>
            </w:pPr>
            <w:r>
              <w:rPr>
                <w:rFonts w:ascii="Arial" w:hAnsi="Arial"/>
                <w:b/>
                <w:sz w:val="17"/>
              </w:rPr>
              <w:t>Mathematical Model</w:t>
            </w:r>
          </w:p>
        </w:tc>
        <w:tc>
          <w:tcPr>
            <w:tcW w:type="dxa" w:w="1987"/>
            <w:shd w:fill="E2F0D9" w:val="clear"/>
            <w:vAlign w:val="center"/>
            <w:tcMar>
              <w:top w:w="50" w:type="dxa"/>
              <w:start w:w="55" w:type="dxa"/>
              <w:bottom w:w="50" w:type="dxa"/>
              <w:end w:w="55" w:type="dxa"/>
            </w:tcMar>
          </w:tcPr>
          <w:p>
            <w:pPr>
              <w:spacing w:before="0" w:after="0" w:line="240" w:lineRule="auto"/>
            </w:pPr>
            <w:r>
              <w:rPr>
                <w:rFonts w:ascii="Arial" w:hAnsi="Arial"/>
                <w:sz w:val="17"/>
              </w:rPr>
              <w:t>State-space linearization</w:t>
            </w:r>
          </w:p>
        </w:tc>
        <w:tc>
          <w:tcPr>
            <w:tcW w:type="dxa" w:w="5112"/>
            <w:shd w:fill="E2F0D9" w:val="clear"/>
            <w:vAlign w:val="center"/>
            <w:tcMar>
              <w:top w:w="50" w:type="dxa"/>
              <w:start w:w="55" w:type="dxa"/>
              <w:bottom w:w="50" w:type="dxa"/>
              <w:end w:w="55" w:type="dxa"/>
            </w:tcMar>
          </w:tcPr>
          <w:p>
            <w:pPr>
              <w:spacing w:before="0" w:after="0" w:line="240" w:lineRule="auto"/>
            </w:pPr>
            <w:r>
              <w:rPr>
                <w:rFonts w:ascii="Arial" w:hAnsi="Arial"/>
                <w:sz w:val="17"/>
              </w:rPr>
              <w:t>Linearize the model into the state-space form used for controller design.</w:t>
            </w:r>
          </w:p>
        </w:tc>
        <w:tc>
          <w:tcPr>
            <w:tcW w:type="dxa" w:w="936"/>
            <w:shd w:fill="E2F0D9" w:val="clear"/>
            <w:vAlign w:val="center"/>
            <w:tcMar>
              <w:top w:w="50" w:type="dxa"/>
              <w:start w:w="55" w:type="dxa"/>
              <w:bottom w:w="50" w:type="dxa"/>
              <w:end w:w="55" w:type="dxa"/>
            </w:tcMar>
          </w:tcPr>
          <w:p>
            <w:pPr>
              <w:spacing w:before="0" w:after="0" w:line="240" w:lineRule="auto"/>
            </w:pPr>
            <w:r>
              <w:rPr>
                <w:rFonts w:ascii="Arial" w:hAnsi="Arial"/>
                <w:sz w:val="17"/>
              </w:rPr>
              <w:t>5</w:t>
            </w:r>
          </w:p>
        </w:tc>
      </w:tr>
      <w:tr>
        <w:trPr>
          <w:cantSplit/>
        </w:trPr>
        <w:tc>
          <w:tcPr>
            <w:tcW w:type="dxa" w:w="1958"/>
            <w:shd w:fill="FFF2CC" w:val="clear"/>
            <w:vAlign w:val="center"/>
            <w:tcMar>
              <w:top w:w="50" w:type="dxa"/>
              <w:start w:w="55" w:type="dxa"/>
              <w:bottom w:w="50" w:type="dxa"/>
              <w:end w:w="55" w:type="dxa"/>
            </w:tcMar>
          </w:tcPr>
          <w:p>
            <w:pPr>
              <w:spacing w:before="0" w:after="0" w:line="240" w:lineRule="auto"/>
            </w:pPr>
            <w:r>
              <w:rPr>
                <w:rFonts w:ascii="Arial" w:hAnsi="Arial"/>
                <w:b/>
                <w:sz w:val="17"/>
              </w:rPr>
              <w:t>Full State Feedback with Friction Compensation</w:t>
            </w:r>
          </w:p>
        </w:tc>
        <w:tc>
          <w:tcPr>
            <w:tcW w:type="dxa" w:w="1987"/>
            <w:shd w:fill="FFF2CC" w:val="clear"/>
            <w:vAlign w:val="center"/>
            <w:tcMar>
              <w:top w:w="50" w:type="dxa"/>
              <w:start w:w="55" w:type="dxa"/>
              <w:bottom w:w="50" w:type="dxa"/>
              <w:end w:w="55" w:type="dxa"/>
            </w:tcMar>
          </w:tcPr>
          <w:p>
            <w:pPr>
              <w:spacing w:before="0" w:after="0" w:line="240" w:lineRule="auto"/>
            </w:pPr>
            <w:r>
              <w:rPr>
                <w:rFonts w:ascii="Arial" w:hAnsi="Arial"/>
                <w:sz w:val="17"/>
              </w:rPr>
              <w:t>Controller development and friction compensation</w:t>
            </w:r>
          </w:p>
        </w:tc>
        <w:tc>
          <w:tcPr>
            <w:tcW w:type="dxa" w:w="5112"/>
            <w:shd w:fill="FFF2CC" w:val="clear"/>
            <w:vAlign w:val="center"/>
            <w:tcMar>
              <w:top w:w="50" w:type="dxa"/>
              <w:start w:w="55" w:type="dxa"/>
              <w:bottom w:w="50" w:type="dxa"/>
              <w:end w:w="55" w:type="dxa"/>
            </w:tcMar>
          </w:tcPr>
          <w:p>
            <w:pPr>
              <w:spacing w:before="0" w:after="0" w:line="240" w:lineRule="auto"/>
            </w:pPr>
            <w:r>
              <w:rPr>
                <w:rFonts w:ascii="Arial" w:hAnsi="Arial"/>
                <w:sz w:val="17"/>
              </w:rPr>
              <w:t>Explain the two-state and three-state controller development, how the friction-compensator values were obtained, and whether friction compensation benefited the three-state controller.</w:t>
            </w:r>
          </w:p>
        </w:tc>
        <w:tc>
          <w:tcPr>
            <w:tcW w:type="dxa" w:w="936"/>
            <w:shd w:fill="FFF2CC" w:val="clear"/>
            <w:vAlign w:val="center"/>
            <w:tcMar>
              <w:top w:w="50" w:type="dxa"/>
              <w:start w:w="55" w:type="dxa"/>
              <w:bottom w:w="50" w:type="dxa"/>
              <w:end w:w="55" w:type="dxa"/>
            </w:tcMar>
          </w:tcPr>
          <w:p>
            <w:pPr>
              <w:spacing w:before="0" w:after="0" w:line="240" w:lineRule="auto"/>
            </w:pPr>
            <w:r>
              <w:rPr>
                <w:rFonts w:ascii="Arial" w:hAnsi="Arial"/>
                <w:sz w:val="17"/>
              </w:rPr>
              <w:t>10</w:t>
            </w:r>
          </w:p>
        </w:tc>
      </w:tr>
      <w:tr>
        <w:trPr>
          <w:cantSplit/>
        </w:trPr>
        <w:tc>
          <w:tcPr>
            <w:tcW w:type="dxa" w:w="1958"/>
            <w:shd w:fill="FFF2CC" w:val="clear"/>
            <w:vAlign w:val="center"/>
            <w:tcMar>
              <w:top w:w="50" w:type="dxa"/>
              <w:start w:w="55" w:type="dxa"/>
              <w:bottom w:w="50" w:type="dxa"/>
              <w:end w:w="55" w:type="dxa"/>
            </w:tcMar>
          </w:tcPr>
          <w:p>
            <w:pPr>
              <w:spacing w:before="0" w:after="0" w:line="240" w:lineRule="auto"/>
            </w:pPr>
            <w:r>
              <w:rPr>
                <w:rFonts w:ascii="Arial" w:hAnsi="Arial"/>
                <w:b/>
                <w:sz w:val="17"/>
              </w:rPr>
              <w:t>Full State Feedback with Friction Compensation</w:t>
            </w:r>
          </w:p>
        </w:tc>
        <w:tc>
          <w:tcPr>
            <w:tcW w:type="dxa" w:w="1987"/>
            <w:shd w:fill="FFF2CC" w:val="clear"/>
            <w:vAlign w:val="center"/>
            <w:tcMar>
              <w:top w:w="50" w:type="dxa"/>
              <w:start w:w="55" w:type="dxa"/>
              <w:bottom w:w="50" w:type="dxa"/>
              <w:end w:w="55" w:type="dxa"/>
            </w:tcMar>
          </w:tcPr>
          <w:p>
            <w:pPr>
              <w:spacing w:before="0" w:after="0" w:line="240" w:lineRule="auto"/>
            </w:pPr>
            <w:r>
              <w:rPr>
                <w:rFonts w:ascii="Arial" w:hAnsi="Arial"/>
                <w:sz w:val="17"/>
              </w:rPr>
              <w:t>Closed-loop stability proof</w:t>
            </w:r>
          </w:p>
        </w:tc>
        <w:tc>
          <w:tcPr>
            <w:tcW w:type="dxa" w:w="5112"/>
            <w:shd w:fill="FFF2CC" w:val="clear"/>
            <w:vAlign w:val="center"/>
            <w:tcMar>
              <w:top w:w="50" w:type="dxa"/>
              <w:start w:w="55" w:type="dxa"/>
              <w:bottom w:w="50" w:type="dxa"/>
              <w:end w:w="55" w:type="dxa"/>
            </w:tcMar>
          </w:tcPr>
          <w:p>
            <w:pPr>
              <w:spacing w:before="0" w:after="0" w:line="240" w:lineRule="auto"/>
            </w:pPr>
            <w:r>
              <w:rPr>
                <w:rFonts w:ascii="Arial" w:hAnsi="Arial"/>
                <w:sz w:val="17"/>
              </w:rPr>
              <w:t>Prove the linearized frictionless three-state closed-loop system is stable at the inverted equilibrium: identify the relevant equilibrium and verify stability of the reduced closed-loop dynamics.</w:t>
            </w:r>
          </w:p>
        </w:tc>
        <w:tc>
          <w:tcPr>
            <w:tcW w:type="dxa" w:w="936"/>
            <w:shd w:fill="FFF2CC" w:val="clear"/>
            <w:vAlign w:val="center"/>
            <w:tcMar>
              <w:top w:w="50" w:type="dxa"/>
              <w:start w:w="55" w:type="dxa"/>
              <w:bottom w:w="50" w:type="dxa"/>
              <w:end w:w="55" w:type="dxa"/>
            </w:tcMar>
          </w:tcPr>
          <w:p>
            <w:pPr>
              <w:spacing w:before="0" w:after="0" w:line="240" w:lineRule="auto"/>
            </w:pPr>
            <w:r>
              <w:rPr>
                <w:rFonts w:ascii="Arial" w:hAnsi="Arial"/>
                <w:sz w:val="17"/>
              </w:rPr>
              <w:t>20</w:t>
            </w:r>
          </w:p>
        </w:tc>
      </w:tr>
      <w:tr>
        <w:trPr>
          <w:cantSplit/>
        </w:trPr>
        <w:tc>
          <w:tcPr>
            <w:tcW w:type="dxa" w:w="1958"/>
            <w:shd w:fill="FFF2CC" w:val="clear"/>
            <w:vAlign w:val="center"/>
            <w:tcMar>
              <w:top w:w="50" w:type="dxa"/>
              <w:start w:w="55" w:type="dxa"/>
              <w:bottom w:w="50" w:type="dxa"/>
              <w:end w:w="55" w:type="dxa"/>
            </w:tcMar>
          </w:tcPr>
          <w:p>
            <w:pPr>
              <w:spacing w:before="0" w:after="0" w:line="240" w:lineRule="auto"/>
            </w:pPr>
            <w:r>
              <w:rPr>
                <w:rFonts w:ascii="Arial" w:hAnsi="Arial"/>
                <w:b/>
                <w:sz w:val="17"/>
              </w:rPr>
              <w:t>Full State Feedback with Friction Compensation</w:t>
            </w:r>
          </w:p>
        </w:tc>
        <w:tc>
          <w:tcPr>
            <w:tcW w:type="dxa" w:w="1987"/>
            <w:shd w:fill="FFF2CC" w:val="clear"/>
            <w:vAlign w:val="center"/>
            <w:tcMar>
              <w:top w:w="50" w:type="dxa"/>
              <w:start w:w="55" w:type="dxa"/>
              <w:bottom w:w="50" w:type="dxa"/>
              <w:end w:w="55" w:type="dxa"/>
            </w:tcMar>
          </w:tcPr>
          <w:p>
            <w:pPr>
              <w:spacing w:before="0" w:after="0" w:line="240" w:lineRule="auto"/>
            </w:pPr>
            <w:r>
              <w:rPr>
                <w:rFonts w:ascii="Arial" w:hAnsi="Arial"/>
                <w:sz w:val="17"/>
              </w:rPr>
              <w:t>Simulation robustness</w:t>
            </w:r>
          </w:p>
        </w:tc>
        <w:tc>
          <w:tcPr>
            <w:tcW w:type="dxa" w:w="5112"/>
            <w:shd w:fill="FFF2CC" w:val="clear"/>
            <w:vAlign w:val="center"/>
            <w:tcMar>
              <w:top w:w="50" w:type="dxa"/>
              <w:start w:w="55" w:type="dxa"/>
              <w:bottom w:w="50" w:type="dxa"/>
              <w:end w:w="55" w:type="dxa"/>
            </w:tcMar>
          </w:tcPr>
          <w:p>
            <w:pPr>
              <w:spacing w:before="0" w:after="0" w:line="240" w:lineRule="auto"/>
            </w:pPr>
            <w:r>
              <w:rPr>
                <w:rFonts w:ascii="Arial" w:hAnsi="Arial"/>
                <w:sz w:val="17"/>
              </w:rPr>
              <w:t>Report the maximum recoverable initial-condition deviation, pulse disturbance, and constant perturbation from Simulink.</w:t>
            </w:r>
          </w:p>
        </w:tc>
        <w:tc>
          <w:tcPr>
            <w:tcW w:type="dxa" w:w="936"/>
            <w:shd w:fill="FFF2CC" w:val="clear"/>
            <w:vAlign w:val="center"/>
            <w:tcMar>
              <w:top w:w="50" w:type="dxa"/>
              <w:start w:w="55" w:type="dxa"/>
              <w:bottom w:w="50" w:type="dxa"/>
              <w:end w:w="55" w:type="dxa"/>
            </w:tcMar>
          </w:tcPr>
          <w:p>
            <w:pPr>
              <w:spacing w:before="0" w:after="0" w:line="240" w:lineRule="auto"/>
            </w:pPr>
            <w:r>
              <w:rPr>
                <w:rFonts w:ascii="Arial" w:hAnsi="Arial"/>
                <w:sz w:val="17"/>
              </w:rPr>
              <w:t>10</w:t>
            </w:r>
          </w:p>
        </w:tc>
      </w:tr>
      <w:tr>
        <w:trPr>
          <w:cantSplit/>
        </w:trPr>
        <w:tc>
          <w:tcPr>
            <w:tcW w:type="dxa" w:w="1958"/>
            <w:shd w:fill="FFF2CC" w:val="clear"/>
            <w:vAlign w:val="center"/>
            <w:tcMar>
              <w:top w:w="50" w:type="dxa"/>
              <w:start w:w="55" w:type="dxa"/>
              <w:bottom w:w="50" w:type="dxa"/>
              <w:end w:w="55" w:type="dxa"/>
            </w:tcMar>
          </w:tcPr>
          <w:p>
            <w:pPr>
              <w:spacing w:before="0" w:after="0" w:line="240" w:lineRule="auto"/>
            </w:pPr>
            <w:r>
              <w:rPr>
                <w:rFonts w:ascii="Arial" w:hAnsi="Arial"/>
                <w:b/>
                <w:sz w:val="17"/>
              </w:rPr>
              <w:t>Full State Feedback with Friction Compensation</w:t>
            </w:r>
          </w:p>
        </w:tc>
        <w:tc>
          <w:tcPr>
            <w:tcW w:type="dxa" w:w="1987"/>
            <w:shd w:fill="FFF2CC" w:val="clear"/>
            <w:vAlign w:val="center"/>
            <w:tcMar>
              <w:top w:w="50" w:type="dxa"/>
              <w:start w:w="55" w:type="dxa"/>
              <w:bottom w:w="50" w:type="dxa"/>
              <w:end w:w="55" w:type="dxa"/>
            </w:tcMar>
          </w:tcPr>
          <w:p>
            <w:pPr>
              <w:spacing w:before="0" w:after="0" w:line="240" w:lineRule="auto"/>
            </w:pPr>
            <w:r>
              <w:rPr>
                <w:rFonts w:ascii="Arial" w:hAnsi="Arial"/>
                <w:sz w:val="17"/>
              </w:rPr>
              <w:t>Experimental behavior</w:t>
            </w:r>
          </w:p>
        </w:tc>
        <w:tc>
          <w:tcPr>
            <w:tcW w:type="dxa" w:w="5112"/>
            <w:shd w:fill="FFF2CC" w:val="clear"/>
            <w:vAlign w:val="center"/>
            <w:tcMar>
              <w:top w:w="50" w:type="dxa"/>
              <w:start w:w="55" w:type="dxa"/>
              <w:bottom w:w="50" w:type="dxa"/>
              <w:end w:w="55" w:type="dxa"/>
            </w:tcMar>
          </w:tcPr>
          <w:p>
            <w:pPr>
              <w:spacing w:before="0" w:after="0" w:line="240" w:lineRule="auto"/>
            </w:pPr>
            <w:r>
              <w:rPr>
                <w:rFonts w:ascii="Arial" w:hAnsi="Arial"/>
                <w:sz w:val="17"/>
              </w:rPr>
              <w:t>Describe the behavior observed on the C2000 DAQBoard/RWP implementation.</w:t>
            </w:r>
          </w:p>
        </w:tc>
        <w:tc>
          <w:tcPr>
            <w:tcW w:type="dxa" w:w="936"/>
            <w:shd w:fill="FFF2CC" w:val="clear"/>
            <w:vAlign w:val="center"/>
            <w:tcMar>
              <w:top w:w="50" w:type="dxa"/>
              <w:start w:w="55" w:type="dxa"/>
              <w:bottom w:w="50" w:type="dxa"/>
              <w:end w:w="55" w:type="dxa"/>
            </w:tcMar>
          </w:tcPr>
          <w:p>
            <w:pPr>
              <w:spacing w:before="0" w:after="0" w:line="240" w:lineRule="auto"/>
            </w:pPr>
            <w:r>
              <w:rPr>
                <w:rFonts w:ascii="Arial" w:hAnsi="Arial"/>
                <w:sz w:val="17"/>
              </w:rPr>
              <w:t>10</w:t>
            </w:r>
          </w:p>
        </w:tc>
      </w:tr>
      <w:tr>
        <w:trPr>
          <w:cantSplit/>
        </w:trPr>
        <w:tc>
          <w:tcPr>
            <w:tcW w:type="dxa" w:w="1958"/>
            <w:shd w:fill="FCE4D6" w:val="clear"/>
            <w:vAlign w:val="center"/>
            <w:tcMar>
              <w:top w:w="50" w:type="dxa"/>
              <w:start w:w="55" w:type="dxa"/>
              <w:bottom w:w="50" w:type="dxa"/>
              <w:end w:w="55" w:type="dxa"/>
            </w:tcMar>
          </w:tcPr>
          <w:p>
            <w:pPr>
              <w:spacing w:before="0" w:after="0" w:line="240" w:lineRule="auto"/>
            </w:pPr>
            <w:r>
              <w:rPr>
                <w:rFonts w:ascii="Arial" w:hAnsi="Arial"/>
                <w:b/>
                <w:sz w:val="17"/>
              </w:rPr>
              <w:t>Full State Feedback with Decoupled Observer</w:t>
            </w:r>
          </w:p>
        </w:tc>
        <w:tc>
          <w:tcPr>
            <w:tcW w:type="dxa" w:w="1987"/>
            <w:shd w:fill="FCE4D6" w:val="clear"/>
            <w:vAlign w:val="center"/>
            <w:tcMar>
              <w:top w:w="50" w:type="dxa"/>
              <w:start w:w="55" w:type="dxa"/>
              <w:bottom w:w="50" w:type="dxa"/>
              <w:end w:w="55" w:type="dxa"/>
            </w:tcMar>
          </w:tcPr>
          <w:p>
            <w:pPr>
              <w:spacing w:before="0" w:after="0" w:line="240" w:lineRule="auto"/>
            </w:pPr>
            <w:r>
              <w:rPr>
                <w:rFonts w:ascii="Arial" w:hAnsi="Arial"/>
                <w:sz w:val="17"/>
              </w:rPr>
              <w:t>Observer purpose and decoupling</w:t>
            </w:r>
          </w:p>
        </w:tc>
        <w:tc>
          <w:tcPr>
            <w:tcW w:type="dxa" w:w="5112"/>
            <w:shd w:fill="FCE4D6" w:val="clear"/>
            <w:vAlign w:val="center"/>
            <w:tcMar>
              <w:top w:w="50" w:type="dxa"/>
              <w:start w:w="55" w:type="dxa"/>
              <w:bottom w:w="50" w:type="dxa"/>
              <w:end w:w="55" w:type="dxa"/>
            </w:tcMar>
          </w:tcPr>
          <w:p>
            <w:pPr>
              <w:spacing w:before="0" w:after="0" w:line="240" w:lineRule="auto"/>
            </w:pPr>
            <w:r>
              <w:rPr>
                <w:rFonts w:ascii="Arial" w:hAnsi="Arial"/>
                <w:sz w:val="17"/>
              </w:rPr>
              <w:t>Explain why observers are used, why the four-state observer can be decoupled into two two-state observers, and the advantage of doing so.</w:t>
            </w:r>
          </w:p>
        </w:tc>
        <w:tc>
          <w:tcPr>
            <w:tcW w:type="dxa" w:w="936"/>
            <w:shd w:fill="FCE4D6" w:val="clear"/>
            <w:vAlign w:val="center"/>
            <w:tcMar>
              <w:top w:w="50" w:type="dxa"/>
              <w:start w:w="55" w:type="dxa"/>
              <w:bottom w:w="50" w:type="dxa"/>
              <w:end w:w="55" w:type="dxa"/>
            </w:tcMar>
          </w:tcPr>
          <w:p>
            <w:pPr>
              <w:spacing w:before="0" w:after="0" w:line="240" w:lineRule="auto"/>
            </w:pPr>
            <w:r>
              <w:rPr>
                <w:rFonts w:ascii="Arial" w:hAnsi="Arial"/>
                <w:sz w:val="17"/>
              </w:rPr>
              <w:t>10</w:t>
            </w:r>
          </w:p>
        </w:tc>
      </w:tr>
      <w:tr>
        <w:trPr>
          <w:cantSplit/>
        </w:trPr>
        <w:tc>
          <w:tcPr>
            <w:tcW w:type="dxa" w:w="1958"/>
            <w:shd w:fill="FCE4D6" w:val="clear"/>
            <w:vAlign w:val="center"/>
            <w:tcMar>
              <w:top w:w="50" w:type="dxa"/>
              <w:start w:w="55" w:type="dxa"/>
              <w:bottom w:w="50" w:type="dxa"/>
              <w:end w:w="55" w:type="dxa"/>
            </w:tcMar>
          </w:tcPr>
          <w:p>
            <w:pPr>
              <w:spacing w:before="0" w:after="0" w:line="240" w:lineRule="auto"/>
            </w:pPr>
            <w:r>
              <w:rPr>
                <w:rFonts w:ascii="Arial" w:hAnsi="Arial"/>
                <w:b/>
                <w:sz w:val="17"/>
              </w:rPr>
              <w:t>Full State Feedback with Decoupled Observer</w:t>
            </w:r>
          </w:p>
        </w:tc>
        <w:tc>
          <w:tcPr>
            <w:tcW w:type="dxa" w:w="1987"/>
            <w:shd w:fill="FCE4D6" w:val="clear"/>
            <w:vAlign w:val="center"/>
            <w:tcMar>
              <w:top w:w="50" w:type="dxa"/>
              <w:start w:w="55" w:type="dxa"/>
              <w:bottom w:w="50" w:type="dxa"/>
              <w:end w:w="55" w:type="dxa"/>
            </w:tcMar>
          </w:tcPr>
          <w:p>
            <w:pPr>
              <w:spacing w:before="0" w:after="0" w:line="240" w:lineRule="auto"/>
            </w:pPr>
            <w:r>
              <w:rPr>
                <w:rFonts w:ascii="Arial" w:hAnsi="Arial"/>
                <w:sz w:val="17"/>
              </w:rPr>
              <w:t>Observer convergence proof</w:t>
            </w:r>
          </w:p>
        </w:tc>
        <w:tc>
          <w:tcPr>
            <w:tcW w:type="dxa" w:w="5112"/>
            <w:shd w:fill="FCE4D6" w:val="clear"/>
            <w:vAlign w:val="center"/>
            <w:tcMar>
              <w:top w:w="50" w:type="dxa"/>
              <w:start w:w="55" w:type="dxa"/>
              <w:bottom w:w="50" w:type="dxa"/>
              <w:end w:w="55" w:type="dxa"/>
            </w:tcMar>
          </w:tcPr>
          <w:p>
            <w:pPr>
              <w:spacing w:before="0" w:after="0" w:line="240" w:lineRule="auto"/>
            </w:pPr>
            <w:r>
              <w:rPr>
                <w:rFonts w:ascii="Arial" w:hAnsi="Arial"/>
                <w:sz w:val="17"/>
              </w:rPr>
              <w:t>Define e = x − x̂, derive the observer-error dynamics, and prove the estimated states converge to the real states by verifying the error-system equilibrium and poles.</w:t>
            </w:r>
          </w:p>
        </w:tc>
        <w:tc>
          <w:tcPr>
            <w:tcW w:type="dxa" w:w="936"/>
            <w:shd w:fill="FCE4D6" w:val="clear"/>
            <w:vAlign w:val="center"/>
            <w:tcMar>
              <w:top w:w="50" w:type="dxa"/>
              <w:start w:w="55" w:type="dxa"/>
              <w:bottom w:w="50" w:type="dxa"/>
              <w:end w:w="55" w:type="dxa"/>
            </w:tcMar>
          </w:tcPr>
          <w:p>
            <w:pPr>
              <w:spacing w:before="0" w:after="0" w:line="240" w:lineRule="auto"/>
            </w:pPr>
            <w:r>
              <w:rPr>
                <w:rFonts w:ascii="Arial" w:hAnsi="Arial"/>
                <w:sz w:val="17"/>
              </w:rPr>
              <w:t>20</w:t>
            </w:r>
          </w:p>
        </w:tc>
      </w:tr>
      <w:tr>
        <w:trPr>
          <w:cantSplit/>
        </w:trPr>
        <w:tc>
          <w:tcPr>
            <w:tcW w:type="dxa" w:w="1958"/>
            <w:shd w:fill="FCE4D6" w:val="clear"/>
            <w:vAlign w:val="center"/>
            <w:tcMar>
              <w:top w:w="50" w:type="dxa"/>
              <w:start w:w="55" w:type="dxa"/>
              <w:bottom w:w="50" w:type="dxa"/>
              <w:end w:w="55" w:type="dxa"/>
            </w:tcMar>
          </w:tcPr>
          <w:p>
            <w:pPr>
              <w:spacing w:before="0" w:after="0" w:line="240" w:lineRule="auto"/>
            </w:pPr>
            <w:r>
              <w:rPr>
                <w:rFonts w:ascii="Arial" w:hAnsi="Arial"/>
                <w:b/>
                <w:sz w:val="17"/>
              </w:rPr>
              <w:t>Full State Feedback with Decoupled Observer</w:t>
            </w:r>
          </w:p>
        </w:tc>
        <w:tc>
          <w:tcPr>
            <w:tcW w:type="dxa" w:w="1987"/>
            <w:shd w:fill="FCE4D6" w:val="clear"/>
            <w:vAlign w:val="center"/>
            <w:tcMar>
              <w:top w:w="50" w:type="dxa"/>
              <w:start w:w="55" w:type="dxa"/>
              <w:bottom w:w="50" w:type="dxa"/>
              <w:end w:w="55" w:type="dxa"/>
            </w:tcMar>
          </w:tcPr>
          <w:p>
            <w:pPr>
              <w:spacing w:before="0" w:after="0" w:line="240" w:lineRule="auto"/>
            </w:pPr>
            <w:r>
              <w:rPr>
                <w:rFonts w:ascii="Arial" w:hAnsi="Arial"/>
                <w:sz w:val="17"/>
              </w:rPr>
              <w:t>Simulation robustness</w:t>
            </w:r>
          </w:p>
        </w:tc>
        <w:tc>
          <w:tcPr>
            <w:tcW w:type="dxa" w:w="5112"/>
            <w:shd w:fill="FCE4D6" w:val="clear"/>
            <w:vAlign w:val="center"/>
            <w:tcMar>
              <w:top w:w="50" w:type="dxa"/>
              <w:start w:w="55" w:type="dxa"/>
              <w:bottom w:w="50" w:type="dxa"/>
              <w:end w:w="55" w:type="dxa"/>
            </w:tcMar>
          </w:tcPr>
          <w:p>
            <w:pPr>
              <w:spacing w:before="0" w:after="0" w:line="240" w:lineRule="auto"/>
            </w:pPr>
            <w:r>
              <w:rPr>
                <w:rFonts w:ascii="Arial" w:hAnsi="Arial"/>
                <w:sz w:val="17"/>
              </w:rPr>
              <w:t>Report the maximum recoverable initial-condition deviation, pulse disturbance, and constant perturbation from Simulink.</w:t>
            </w:r>
          </w:p>
        </w:tc>
        <w:tc>
          <w:tcPr>
            <w:tcW w:type="dxa" w:w="936"/>
            <w:shd w:fill="FCE4D6" w:val="clear"/>
            <w:vAlign w:val="center"/>
            <w:tcMar>
              <w:top w:w="50" w:type="dxa"/>
              <w:start w:w="55" w:type="dxa"/>
              <w:bottom w:w="50" w:type="dxa"/>
              <w:end w:w="55" w:type="dxa"/>
            </w:tcMar>
          </w:tcPr>
          <w:p>
            <w:pPr>
              <w:spacing w:before="0" w:after="0" w:line="240" w:lineRule="auto"/>
            </w:pPr>
            <w:r>
              <w:rPr>
                <w:rFonts w:ascii="Arial" w:hAnsi="Arial"/>
                <w:sz w:val="17"/>
              </w:rPr>
              <w:t>10</w:t>
            </w:r>
          </w:p>
        </w:tc>
      </w:tr>
      <w:tr>
        <w:trPr>
          <w:cantSplit/>
        </w:trPr>
        <w:tc>
          <w:tcPr>
            <w:tcW w:type="dxa" w:w="1958"/>
            <w:shd w:fill="FCE4D6" w:val="clear"/>
            <w:vAlign w:val="center"/>
            <w:tcMar>
              <w:top w:w="50" w:type="dxa"/>
              <w:start w:w="55" w:type="dxa"/>
              <w:bottom w:w="50" w:type="dxa"/>
              <w:end w:w="55" w:type="dxa"/>
            </w:tcMar>
          </w:tcPr>
          <w:p>
            <w:pPr>
              <w:spacing w:before="0" w:after="0" w:line="240" w:lineRule="auto"/>
            </w:pPr>
            <w:r>
              <w:rPr>
                <w:rFonts w:ascii="Arial" w:hAnsi="Arial"/>
                <w:b/>
                <w:sz w:val="17"/>
              </w:rPr>
              <w:t>Full State Feedback with Decoupled Observer</w:t>
            </w:r>
          </w:p>
        </w:tc>
        <w:tc>
          <w:tcPr>
            <w:tcW w:type="dxa" w:w="1987"/>
            <w:shd w:fill="FCE4D6" w:val="clear"/>
            <w:vAlign w:val="center"/>
            <w:tcMar>
              <w:top w:w="50" w:type="dxa"/>
              <w:start w:w="55" w:type="dxa"/>
              <w:bottom w:w="50" w:type="dxa"/>
              <w:end w:w="55" w:type="dxa"/>
            </w:tcMar>
          </w:tcPr>
          <w:p>
            <w:pPr>
              <w:spacing w:before="0" w:after="0" w:line="240" w:lineRule="auto"/>
            </w:pPr>
            <w:r>
              <w:rPr>
                <w:rFonts w:ascii="Arial" w:hAnsi="Arial"/>
                <w:sz w:val="17"/>
              </w:rPr>
              <w:t>Experimental behavior</w:t>
            </w:r>
          </w:p>
        </w:tc>
        <w:tc>
          <w:tcPr>
            <w:tcW w:type="dxa" w:w="5112"/>
            <w:shd w:fill="FCE4D6" w:val="clear"/>
            <w:vAlign w:val="center"/>
            <w:tcMar>
              <w:top w:w="50" w:type="dxa"/>
              <w:start w:w="55" w:type="dxa"/>
              <w:bottom w:w="50" w:type="dxa"/>
              <w:end w:w="55" w:type="dxa"/>
            </w:tcMar>
          </w:tcPr>
          <w:p>
            <w:pPr>
              <w:spacing w:before="0" w:after="0" w:line="240" w:lineRule="auto"/>
            </w:pPr>
            <w:r>
              <w:rPr>
                <w:rFonts w:ascii="Arial" w:hAnsi="Arial"/>
                <w:sz w:val="17"/>
              </w:rPr>
              <w:t>Describe the behavior observed on the C2000 DAQBoard/RWP implementation with the observer.</w:t>
            </w:r>
          </w:p>
        </w:tc>
        <w:tc>
          <w:tcPr>
            <w:tcW w:type="dxa" w:w="936"/>
            <w:shd w:fill="FCE4D6" w:val="clear"/>
            <w:vAlign w:val="center"/>
            <w:tcMar>
              <w:top w:w="50" w:type="dxa"/>
              <w:start w:w="55" w:type="dxa"/>
              <w:bottom w:w="50" w:type="dxa"/>
              <w:end w:w="55" w:type="dxa"/>
            </w:tcMar>
          </w:tcPr>
          <w:p>
            <w:pPr>
              <w:spacing w:before="0" w:after="0" w:line="240" w:lineRule="auto"/>
            </w:pPr>
            <w:r>
              <w:rPr>
                <w:rFonts w:ascii="Arial" w:hAnsi="Arial"/>
                <w:sz w:val="17"/>
              </w:rPr>
              <w:t>10</w:t>
            </w:r>
          </w:p>
        </w:tc>
      </w:tr>
      <w:tr>
        <w:trPr>
          <w:cantSplit/>
        </w:trPr>
        <w:tc>
          <w:tcPr>
            <w:tcW w:type="dxa" w:w="1958"/>
            <w:shd w:fill="E7E6E6" w:val="clear"/>
            <w:vAlign w:val="center"/>
            <w:tcMar>
              <w:top w:w="50" w:type="dxa"/>
              <w:start w:w="55" w:type="dxa"/>
              <w:bottom w:w="50" w:type="dxa"/>
              <w:end w:w="55" w:type="dxa"/>
            </w:tcMar>
          </w:tcPr>
          <w:p>
            <w:pPr>
              <w:spacing w:before="0" w:after="0" w:line="240" w:lineRule="auto"/>
            </w:pPr>
            <w:r>
              <w:rPr>
                <w:rFonts w:ascii="Arial" w:hAnsi="Arial"/>
                <w:b/>
                <w:sz w:val="17"/>
              </w:rPr>
              <w:t>Conclusion</w:t>
            </w:r>
          </w:p>
        </w:tc>
        <w:tc>
          <w:tcPr>
            <w:tcW w:type="dxa" w:w="1987"/>
            <w:shd w:fill="E7E6E6" w:val="clear"/>
            <w:vAlign w:val="center"/>
            <w:tcMar>
              <w:top w:w="50" w:type="dxa"/>
              <w:start w:w="55" w:type="dxa"/>
              <w:bottom w:w="50" w:type="dxa"/>
              <w:end w:w="55" w:type="dxa"/>
            </w:tcMar>
          </w:tcPr>
          <w:p>
            <w:pPr>
              <w:spacing w:before="0" w:after="0" w:line="240" w:lineRule="auto"/>
            </w:pPr>
            <w:r>
              <w:rPr>
                <w:rFonts w:ascii="Arial" w:hAnsi="Arial"/>
                <w:sz w:val="17"/>
              </w:rPr>
              <w:t>Controller comparison</w:t>
            </w:r>
          </w:p>
        </w:tc>
        <w:tc>
          <w:tcPr>
            <w:tcW w:type="dxa" w:w="5112"/>
            <w:shd w:fill="E7E6E6" w:val="clear"/>
            <w:vAlign w:val="center"/>
            <w:tcMar>
              <w:top w:w="50" w:type="dxa"/>
              <w:start w:w="55" w:type="dxa"/>
              <w:bottom w:w="50" w:type="dxa"/>
              <w:end w:w="55" w:type="dxa"/>
            </w:tcMar>
          </w:tcPr>
          <w:p>
            <w:pPr>
              <w:spacing w:before="0" w:after="0" w:line="240" w:lineRule="auto"/>
            </w:pPr>
            <w:r>
              <w:rPr>
                <w:rFonts w:ascii="Arial" w:hAnsi="Arial"/>
                <w:sz w:val="17"/>
              </w:rPr>
              <w:t>Define the standard used to judge controller performance and conclude which controller performed better using reported evidence.</w:t>
            </w:r>
          </w:p>
        </w:tc>
        <w:tc>
          <w:tcPr>
            <w:tcW w:type="dxa" w:w="936"/>
            <w:shd w:fill="E7E6E6" w:val="clear"/>
            <w:vAlign w:val="center"/>
            <w:tcMar>
              <w:top w:w="50" w:type="dxa"/>
              <w:start w:w="55" w:type="dxa"/>
              <w:bottom w:w="50" w:type="dxa"/>
              <w:end w:w="55" w:type="dxa"/>
            </w:tcMar>
          </w:tcPr>
          <w:p>
            <w:pPr>
              <w:spacing w:before="0" w:after="0" w:line="240" w:lineRule="auto"/>
            </w:pPr>
            <w:r>
              <w:rPr>
                <w:rFonts w:ascii="Arial" w:hAnsi="Arial"/>
                <w:sz w:val="17"/>
              </w:rPr>
              <w:t>10</w:t>
            </w:r>
          </w:p>
        </w:tc>
      </w:tr>
      <w:tr>
        <w:trPr>
          <w:cantSplit/>
        </w:trPr>
        <w:tc>
          <w:tcPr>
            <w:tcW w:type="dxa" w:w="1958"/>
            <w:shd w:fill="FFD966" w:val="clear"/>
            <w:vAlign w:val="center"/>
            <w:tcMar>
              <w:top w:w="50" w:type="dxa"/>
              <w:start w:w="55" w:type="dxa"/>
              <w:bottom w:w="50" w:type="dxa"/>
              <w:end w:w="55" w:type="dxa"/>
            </w:tcMar>
          </w:tcPr>
          <w:p>
            <w:pPr>
              <w:spacing w:before="0" w:after="0" w:line="240" w:lineRule="auto"/>
            </w:pPr>
            <w:r>
              <w:rPr>
                <w:rFonts w:ascii="Arial" w:hAnsi="Arial"/>
                <w:b/>
                <w:sz w:val="17"/>
              </w:rPr>
              <w:t>Report subtotal</w:t>
            </w:r>
          </w:p>
        </w:tc>
        <w:tc>
          <w:tcPr>
            <w:tcW w:type="dxa" w:w="1987"/>
            <w:shd w:fill="FFD966" w:val="clear"/>
            <w:vAlign w:val="center"/>
            <w:tcMar>
              <w:top w:w="50" w:type="dxa"/>
              <w:start w:w="55" w:type="dxa"/>
              <w:bottom w:w="50" w:type="dxa"/>
              <w:end w:w="55" w:type="dxa"/>
            </w:tcMar>
          </w:tcPr>
          <w:p>
            <w:pPr>
              <w:spacing w:before="0" w:after="0" w:line="240" w:lineRule="auto"/>
            </w:pPr>
            <w:r>
              <w:rPr>
                <w:rFonts w:ascii="Arial" w:hAnsi="Arial"/>
                <w:b/>
                <w:sz w:val="17"/>
              </w:rPr>
            </w:r>
          </w:p>
        </w:tc>
        <w:tc>
          <w:tcPr>
            <w:tcW w:type="dxa" w:w="5112"/>
            <w:shd w:fill="FFD966" w:val="clear"/>
            <w:vAlign w:val="center"/>
            <w:tcMar>
              <w:top w:w="50" w:type="dxa"/>
              <w:start w:w="55" w:type="dxa"/>
              <w:bottom w:w="50" w:type="dxa"/>
              <w:end w:w="55" w:type="dxa"/>
            </w:tcMar>
          </w:tcPr>
          <w:p>
            <w:pPr>
              <w:spacing w:before="0" w:after="0" w:line="240" w:lineRule="auto"/>
            </w:pPr>
            <w:r>
              <w:rPr>
                <w:rFonts w:ascii="Arial" w:hAnsi="Arial"/>
                <w:b/>
                <w:sz w:val="17"/>
              </w:rPr>
              <w:t>Introduction (10) + Mathematical Model (10) + Full State Feedback (50) + Observer (50) + Conclusion (10).</w:t>
            </w:r>
          </w:p>
        </w:tc>
        <w:tc>
          <w:tcPr>
            <w:tcW w:type="dxa" w:w="936"/>
            <w:shd w:fill="FFD966" w:val="clear"/>
            <w:vAlign w:val="center"/>
            <w:tcMar>
              <w:top w:w="50" w:type="dxa"/>
              <w:start w:w="55" w:type="dxa"/>
              <w:bottom w:w="50" w:type="dxa"/>
              <w:end w:w="55" w:type="dxa"/>
            </w:tcMar>
          </w:tcPr>
          <w:p>
            <w:pPr>
              <w:spacing w:before="0" w:after="0" w:line="240" w:lineRule="auto"/>
            </w:pPr>
            <w:r>
              <w:rPr>
                <w:rFonts w:ascii="Arial" w:hAnsi="Arial"/>
                <w:b/>
                <w:sz w:val="17"/>
              </w:rPr>
              <w:t>130</w:t>
            </w:r>
          </w:p>
        </w:tc>
      </w:tr>
      <w:tr>
        <w:trPr>
          <w:cantSplit/>
        </w:trPr>
        <w:tc>
          <w:tcPr>
            <w:tcW w:type="dxa" w:w="1958"/>
            <w:shd w:fill="E7E6E6" w:val="clear"/>
            <w:vAlign w:val="center"/>
            <w:tcMar>
              <w:top w:w="50" w:type="dxa"/>
              <w:start w:w="55" w:type="dxa"/>
              <w:bottom w:w="50" w:type="dxa"/>
              <w:end w:w="55" w:type="dxa"/>
            </w:tcMar>
          </w:tcPr>
          <w:p>
            <w:pPr>
              <w:spacing w:before="0" w:after="0" w:line="240" w:lineRule="auto"/>
            </w:pPr>
            <w:r>
              <w:rPr>
                <w:rFonts w:ascii="Arial" w:hAnsi="Arial"/>
                <w:b/>
                <w:sz w:val="17"/>
              </w:rPr>
              <w:t>Style deduction</w:t>
            </w:r>
          </w:p>
        </w:tc>
        <w:tc>
          <w:tcPr>
            <w:tcW w:type="dxa" w:w="1987"/>
            <w:shd w:fill="E7E6E6" w:val="clear"/>
            <w:vAlign w:val="center"/>
            <w:tcMar>
              <w:top w:w="50" w:type="dxa"/>
              <w:start w:w="55" w:type="dxa"/>
              <w:bottom w:w="50" w:type="dxa"/>
              <w:end w:w="55" w:type="dxa"/>
            </w:tcMar>
          </w:tcPr>
          <w:p>
            <w:pPr>
              <w:spacing w:before="0" w:after="0" w:line="240" w:lineRule="auto"/>
            </w:pPr>
            <w:r>
              <w:rPr>
                <w:rFonts w:ascii="Arial" w:hAnsi="Arial"/>
                <w:b/>
                <w:sz w:val="17"/>
              </w:rPr>
              <w:t>Formal-report quality</w:t>
            </w:r>
          </w:p>
        </w:tc>
        <w:tc>
          <w:tcPr>
            <w:tcW w:type="dxa" w:w="5112"/>
            <w:shd w:fill="E7E6E6" w:val="clear"/>
            <w:vAlign w:val="center"/>
            <w:tcMar>
              <w:top w:w="50" w:type="dxa"/>
              <w:start w:w="55" w:type="dxa"/>
              <w:bottom w:w="50" w:type="dxa"/>
              <w:end w:w="55" w:type="dxa"/>
            </w:tcMar>
          </w:tcPr>
          <w:p>
            <w:pPr>
              <w:spacing w:before="0" w:after="0" w:line="240" w:lineRule="auto"/>
            </w:pPr>
            <w:r>
              <w:rPr>
                <w:rFonts w:ascii="Arial" w:hAnsi="Arial"/>
                <w:b/>
                <w:sz w:val="17"/>
              </w:rPr>
              <w:t>Maximum adjustment is 0; up to 50 points may be deducted for poor flow, missing labels/captions, excessive length, or failure to follow the posted formal-report style requirements.</w:t>
            </w:r>
          </w:p>
        </w:tc>
        <w:tc>
          <w:tcPr>
            <w:tcW w:type="dxa" w:w="936"/>
            <w:shd w:fill="E7E6E6" w:val="clear"/>
            <w:vAlign w:val="center"/>
            <w:tcMar>
              <w:top w:w="50" w:type="dxa"/>
              <w:start w:w="55" w:type="dxa"/>
              <w:bottom w:w="50" w:type="dxa"/>
              <w:end w:w="55" w:type="dxa"/>
            </w:tcMar>
          </w:tcPr>
          <w:p>
            <w:pPr>
              <w:spacing w:before="0" w:after="0" w:line="240" w:lineRule="auto"/>
            </w:pPr>
            <w:r>
              <w:rPr>
                <w:rFonts w:ascii="Arial" w:hAnsi="Arial"/>
                <w:b/>
                <w:sz w:val="17"/>
              </w:rPr>
              <w:t>0 to −50</w:t>
            </w:r>
          </w:p>
        </w:tc>
      </w:tr>
    </w:tbl>
    <w:p>
      <w:pPr>
        <w:pStyle w:val="Caption"/>
        <w:jc w:val="center"/>
      </w:pPr>
      <w:r>
        <w:t>Table C2. Detailed 130-point final-project report rubric and style deduction.</w:t>
      </w:r>
    </w:p>
    <w:p>
      <w:pPr>
        <w:pStyle w:val="Prompt"/>
      </w:pPr>
      <w:r>
        <w:t>Part VI is required and carries 15 demonstration points within the 250-point base project grade. The Section 6 write-up is required supporting documentation for that demonstration and does not create an additional report subscore beyond the 130-point report rubric. Part VII is the only extra-credit section and is worth up to +20 points. If attempted, the swing-up controller must be demonstrated to the TA, and the submission must include a concise discussion of the approach and the corresponding C2000 DAQBoard/Simulink model(s) in an appendix.</w:t>
      </w:r>
    </w:p>
    <w:sectPr>
      <w:headerReference w:type="default" r:id="rId2"/>
      <w:footerReference w:type="default" r:id="rId3"/>
      <w:type w:val="nextPage"/>
      <w:pgSz w:w="12240" w:h="15840"/>
      <w:pgMar w:left="1123" w:right="1123" w:gutter="0" w:header="720" w:top="1037" w:footer="720" w:bottom="103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mbria">
    <w:charset w:val="00" w:characterSet="iso-8859-1"/>
    <w:family w:val="roman"/>
    <w:pitch w:val="variable"/>
  </w:font>
  <w:font w:name="Arial">
    <w:charset w:val="00" w:characterSet="iso-8859-1"/>
    <w:family w:val="roman"/>
    <w:pitch w:val="variable"/>
  </w:font>
  <w:font w:name="Calibri">
    <w:charset w:val="00" w:characterSet="iso-8859-1"/>
    <w:family w:val="roman"/>
    <w:pitch w:val="variable"/>
  </w:font>
  <w:font w:name="Courier">
    <w:altName w:val="Courier New"/>
    <w:charset w:val="00" w:characterSet="iso-8859-1"/>
    <w:family w:val="roman"/>
    <w:pitch w:val="variable"/>
  </w:font>
  <w:font w:name="Liberation Sans">
    <w:altName w:val="Arial"/>
    <w:charset w:val="00" w:characterSet="iso-8859-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t xml:space="preserve">Page </w:t>
    </w:r>
    <w:r>
      <w:rPr/>
      <w:fldChar w:fldCharType="begin"/>
    </w:r>
    <w:r>
      <w:rPr/>
      <w:instrText xml:space="preserve"> PAGE </w:instrText>
    </w:r>
    <w:r>
      <w:rPr/>
      <w:fldChar w:fldCharType="separate"/>
    </w:r>
    <w:r>
      <w:rPr/>
      <w:t>12</w:t>
    </w:r>
    <w:r>
      <w:rPr/>
      <w:fldChar w:fldCharType="end"/>
    </w:r>
    <w:r>
      <w:rPr/>
      <w:t xml:space="preserve"> of </w:t>
    </w:r>
    <w:r>
      <w:rPr/>
      <w:fldChar w:fldCharType="begin"/>
    </w:r>
    <w:r>
      <w:rPr/>
      <w:instrText xml:space="preserve"> NUMPAGES </w:instrText>
    </w:r>
    <w:r>
      <w:rPr/>
      <w:fldChar w:fldCharType="separate"/>
    </w:r>
    <w:r>
      <w:rPr/>
      <w:t>12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Arial" w:hAnsi="Arial"/>
        <w:sz w:val="17"/>
      </w:rPr>
    </w:pPr>
    <w:r>
      <w:rPr>
        <w:sz w:val="17"/>
      </w:rPr>
      <w:t>ECE 486 Final Project - Reaction Wheel Pendulum</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DejaVu Sans"/>
        <w:sz w:val="22"/>
        <w:szCs w:val="22"/>
        <w:lang w:val="en-US"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59" w:before="0" w:after="60"/>
      <w:jc w:val="start"/>
    </w:pPr>
    <w:rPr>
      <w:rFonts w:ascii="Times New Roman" w:hAnsi="Times New Roman" w:eastAsia="Arial"/>
      <w:color w:val="auto"/>
      <w:kern w:val="0"/>
      <w:sz w:val="22"/>
      <w:szCs w:val="22"/>
      <w:lang w:val="en-US" w:eastAsia="en-US" w:bidi="ar-SA"/>
    </w:rPr>
  </w:style>
  <w:style w:type="paragraph" w:styleId="Heading1">
    <w:name w:val="heading 1"/>
    <w:basedOn w:val="Normal"/>
    <w:next w:val="Normal"/>
    <w:link w:val="Heading1Char"/>
    <w:qFormat/>
    <w:pPr>
      <w:keepNext w:val="true"/>
      <w:keepLines/>
      <w:numPr>
        <w:ilvl w:val="0"/>
        <w:numId w:val="0"/>
      </w:numPr>
      <w:spacing w:before="160" w:after="80"/>
      <w:outlineLvl w:val="0"/>
    </w:pPr>
    <w:rPr>
      <w:rFonts w:ascii="Calibri" w:hAnsi="Calibri" w:eastAsia="ＭＳ ゴシック" w:cs="DejaVu Sans"/>
      <w:b/>
      <w:bCs/>
      <w:color w:themeColor="accent1" w:themeShade="bf" w:val="365F91"/>
      <w:sz w:val="34"/>
      <w:szCs w:val="28"/>
      <w:lang w:val="en-US" w:eastAsia="en-US"/>
    </w:rPr>
  </w:style>
  <w:style w:type="paragraph" w:styleId="Heading2">
    <w:name w:val="heading 2"/>
    <w:basedOn w:val="Normal"/>
    <w:next w:val="Normal"/>
    <w:link w:val="Heading2Char"/>
    <w:qFormat/>
    <w:pPr>
      <w:keepNext w:val="true"/>
      <w:keepLines/>
      <w:numPr>
        <w:ilvl w:val="0"/>
        <w:numId w:val="0"/>
      </w:numPr>
      <w:spacing w:before="160" w:after="80"/>
      <w:outlineLvl w:val="1"/>
    </w:pPr>
    <w:rPr>
      <w:rFonts w:ascii="Calibri" w:hAnsi="Calibri" w:eastAsia="ＭＳ ゴシック" w:cs="DejaVu Sans"/>
      <w:b/>
      <w:bCs/>
      <w:color w:themeColor="accent1" w:val="4F81BD"/>
      <w:sz w:val="28"/>
      <w:szCs w:val="26"/>
      <w:lang w:val="en-US" w:eastAsia="en-US"/>
    </w:rPr>
  </w:style>
  <w:style w:type="paragraph" w:styleId="Heading3">
    <w:name w:val="heading 3"/>
    <w:basedOn w:val="Normal"/>
    <w:next w:val="Normal"/>
    <w:link w:val="Heading3Char"/>
    <w:qFormat/>
    <w:pPr>
      <w:keepNext w:val="true"/>
      <w:keepLines/>
      <w:numPr>
        <w:ilvl w:val="0"/>
        <w:numId w:val="0"/>
      </w:numPr>
      <w:spacing w:before="160" w:after="80"/>
      <w:outlineLvl w:val="2"/>
    </w:pPr>
    <w:rPr>
      <w:rFonts w:ascii="Calibri" w:hAnsi="Calibri" w:eastAsia="ＭＳ ゴシック" w:cs="DejaVu Sans"/>
      <w:b/>
      <w:bCs/>
      <w:color w:themeColor="accent1" w:val="4F81BD"/>
      <w:sz w:val="24"/>
      <w:lang w:val="en-US" w:eastAsia="en-US"/>
    </w:rPr>
  </w:style>
  <w:style w:type="paragraph" w:styleId="Heading4">
    <w:name w:val="heading 4"/>
    <w:basedOn w:val="Normal"/>
    <w:next w:val="Normal"/>
    <w:link w:val="Heading4Char"/>
    <w:qFormat/>
    <w:pPr>
      <w:keepNext w:val="true"/>
      <w:keepLines/>
      <w:numPr>
        <w:ilvl w:val="0"/>
        <w:numId w:val="0"/>
      </w:numPr>
      <w:spacing w:before="200" w:after="0"/>
      <w:outlineLvl w:val="3"/>
    </w:pPr>
    <w:rPr>
      <w:rFonts w:ascii="Calibri" w:hAnsi="Calibri" w:eastAsia="ＭＳ ゴシック" w:cs="DejaVu Sans"/>
      <w:b/>
      <w:bCs/>
      <w:i/>
      <w:iCs/>
      <w:color w:themeColor="accent1" w:val="4F81BD"/>
      <w:lang w:val="en-US" w:eastAsia="en-US"/>
    </w:rPr>
  </w:style>
  <w:style w:type="paragraph" w:styleId="Heading5">
    <w:name w:val="heading 5"/>
    <w:basedOn w:val="Normal"/>
    <w:next w:val="Normal"/>
    <w:link w:val="Heading5Char"/>
    <w:qFormat/>
    <w:pPr>
      <w:keepNext w:val="true"/>
      <w:keepLines/>
      <w:numPr>
        <w:ilvl w:val="0"/>
        <w:numId w:val="0"/>
      </w:numPr>
      <w:spacing w:before="200" w:after="0"/>
      <w:outlineLvl w:val="4"/>
    </w:pPr>
    <w:rPr>
      <w:rFonts w:ascii="Calibri" w:hAnsi="Calibri" w:eastAsia="ＭＳ ゴシック" w:cs="DejaVu Sans"/>
      <w:color w:themeColor="accent1" w:themeShade="7f" w:val="243F60"/>
      <w:lang w:val="en-US" w:eastAsia="en-US"/>
    </w:rPr>
  </w:style>
  <w:style w:type="paragraph" w:styleId="Heading6">
    <w:name w:val="heading 6"/>
    <w:basedOn w:val="Normal"/>
    <w:next w:val="Normal"/>
    <w:link w:val="Heading6Char"/>
    <w:qFormat/>
    <w:pPr>
      <w:keepNext w:val="true"/>
      <w:keepLines/>
      <w:numPr>
        <w:ilvl w:val="0"/>
        <w:numId w:val="0"/>
      </w:numPr>
      <w:spacing w:before="200" w:after="0"/>
      <w:outlineLvl w:val="5"/>
    </w:pPr>
    <w:rPr>
      <w:rFonts w:ascii="Calibri" w:hAnsi="Calibri" w:eastAsia="ＭＳ ゴシック" w:cs="DejaVu Sans"/>
      <w:i/>
      <w:iCs/>
      <w:color w:themeColor="accent1" w:themeShade="7f" w:val="243F60"/>
      <w:lang w:val="en-US" w:eastAsia="en-US"/>
    </w:rPr>
  </w:style>
  <w:style w:type="paragraph" w:styleId="Heading7">
    <w:name w:val="heading 7"/>
    <w:basedOn w:val="Normal"/>
    <w:next w:val="Normal"/>
    <w:link w:val="Heading7Char"/>
    <w:qFormat/>
    <w:pPr>
      <w:keepNext w:val="true"/>
      <w:keepLines/>
      <w:numPr>
        <w:ilvl w:val="0"/>
        <w:numId w:val="0"/>
      </w:numPr>
      <w:spacing w:before="200" w:after="0"/>
      <w:outlineLvl w:val="6"/>
    </w:pPr>
    <w:rPr>
      <w:rFonts w:ascii="Calibri" w:hAnsi="Calibri" w:eastAsia="ＭＳ ゴシック" w:cs="DejaVu Sans"/>
      <w:i/>
      <w:iCs/>
      <w:color w:themeColor="dark1" w:themeTint="bf" w:val="404040"/>
      <w:lang w:val="en-US" w:eastAsia="en-US"/>
    </w:rPr>
  </w:style>
  <w:style w:type="paragraph" w:styleId="Heading8">
    <w:name w:val="heading 8"/>
    <w:basedOn w:val="Normal"/>
    <w:next w:val="Normal"/>
    <w:link w:val="Heading8Char"/>
    <w:qFormat/>
    <w:pPr>
      <w:keepNext w:val="true"/>
      <w:keepLines/>
      <w:numPr>
        <w:ilvl w:val="0"/>
        <w:numId w:val="0"/>
      </w:numPr>
      <w:spacing w:before="200" w:after="0"/>
      <w:outlineLvl w:val="7"/>
    </w:pPr>
    <w:rPr>
      <w:rFonts w:ascii="Calibri" w:hAnsi="Calibri" w:eastAsia="ＭＳ ゴシック" w:cs="DejaVu Sans"/>
      <w:color w:themeColor="accent1" w:val="4F81BD"/>
      <w:sz w:val="20"/>
      <w:szCs w:val="20"/>
      <w:lang w:val="en-US" w:eastAsia="en-US"/>
    </w:rPr>
  </w:style>
  <w:style w:type="paragraph" w:styleId="Heading9">
    <w:name w:val="heading 9"/>
    <w:basedOn w:val="Normal"/>
    <w:next w:val="Normal"/>
    <w:link w:val="Heading9Char"/>
    <w:qFormat/>
    <w:pPr>
      <w:keepNext w:val="true"/>
      <w:keepLines/>
      <w:numPr>
        <w:ilvl w:val="0"/>
        <w:numId w:val="0"/>
      </w:numPr>
      <w:spacing w:before="200" w:after="0"/>
      <w:outlineLvl w:val="8"/>
    </w:pPr>
    <w:rPr>
      <w:rFonts w:ascii="Calibri" w:hAnsi="Calibri" w:eastAsia="ＭＳ ゴシック" w:cs="DejaVu Sans"/>
      <w:i/>
      <w:iCs/>
      <w:color w:themeColor="dark1" w:themeTint="bf" w:val="404040"/>
      <w:sz w:val="20"/>
      <w:szCs w:val="20"/>
      <w:lang w:val="en-US" w:eastAsia="en-US"/>
    </w:rPr>
  </w:style>
  <w:style w:type="character" w:styleId="HeaderChar">
    <w:name w:val="Header Char"/>
    <w:basedOn w:val="DefaultParagraphFont"/>
    <w:link w:val="Header"/>
    <w:qFormat/>
    <w:rPr>
      <w:lang w:val="en-US" w:eastAsia="en-US"/>
    </w:rPr>
  </w:style>
  <w:style w:type="character" w:styleId="FooterChar">
    <w:name w:val="Footer Char"/>
    <w:basedOn w:val="DefaultParagraphFont"/>
    <w:link w:val="Footer"/>
    <w:qFormat/>
    <w:rPr>
      <w:lang w:val="en-US" w:eastAsia="en-US"/>
    </w:rPr>
  </w:style>
  <w:style w:type="character" w:styleId="DefaultParagraphFont">
    <w:name w:val="Default Paragraph Font"/>
    <w:qFormat/>
    <w:rPr>
      <w:lang w:val="en-US" w:eastAsia="en-US"/>
    </w:rPr>
  </w:style>
  <w:style w:type="character" w:styleId="Heading1Char">
    <w:name w:val="Heading 1 Char"/>
    <w:basedOn w:val="DefaultParagraphFont"/>
    <w:link w:val="Heading1"/>
    <w:qFormat/>
    <w:rPr>
      <w:rFonts w:ascii="Calibri" w:hAnsi="Calibri" w:eastAsia="ＭＳ ゴシック" w:cs="DejaVu Sans"/>
      <w:b/>
      <w:bCs/>
      <w:color w:themeColor="accent1" w:themeShade="bf" w:val="365F91"/>
      <w:sz w:val="28"/>
      <w:szCs w:val="28"/>
      <w:lang w:val="en-US" w:eastAsia="en-US"/>
    </w:rPr>
  </w:style>
  <w:style w:type="character" w:styleId="Heading2Char">
    <w:name w:val="Heading 2 Char"/>
    <w:basedOn w:val="DefaultParagraphFont"/>
    <w:link w:val="Heading2"/>
    <w:qFormat/>
    <w:rPr>
      <w:rFonts w:ascii="Calibri" w:hAnsi="Calibri" w:eastAsia="ＭＳ ゴシック" w:cs="DejaVu Sans"/>
      <w:b/>
      <w:bCs/>
      <w:color w:themeColor="accent1" w:val="4F81BD"/>
      <w:sz w:val="26"/>
      <w:szCs w:val="26"/>
      <w:lang w:val="en-US" w:eastAsia="en-US"/>
    </w:rPr>
  </w:style>
  <w:style w:type="character" w:styleId="Heading3Char">
    <w:name w:val="Heading 3 Char"/>
    <w:basedOn w:val="DefaultParagraphFont"/>
    <w:link w:val="Heading3"/>
    <w:qFormat/>
    <w:rPr>
      <w:rFonts w:ascii="Calibri" w:hAnsi="Calibri" w:eastAsia="ＭＳ ゴシック" w:cs="DejaVu Sans"/>
      <w:b/>
      <w:bCs/>
      <w:color w:themeColor="accent1" w:val="4F81BD"/>
      <w:lang w:val="en-US" w:eastAsia="en-US"/>
    </w:rPr>
  </w:style>
  <w:style w:type="character" w:styleId="TitleChar">
    <w:name w:val="Title Char"/>
    <w:basedOn w:val="DefaultParagraphFont"/>
    <w:link w:val="Title"/>
    <w:qFormat/>
    <w:rPr>
      <w:rFonts w:ascii="Calibri" w:hAnsi="Calibri" w:eastAsia="ＭＳ ゴシック" w:cs="DejaVu Sans"/>
      <w:color w:themeColor="dark2" w:themeShade="bf" w:val="17365D"/>
      <w:spacing w:val="5"/>
      <w:kern w:val="2"/>
      <w:sz w:val="52"/>
      <w:szCs w:val="52"/>
      <w:lang w:val="en-US" w:eastAsia="en-US"/>
    </w:rPr>
  </w:style>
  <w:style w:type="character" w:styleId="SubtitleChar">
    <w:name w:val="Subtitle Char"/>
    <w:basedOn w:val="DefaultParagraphFont"/>
    <w:link w:val="Subtitle"/>
    <w:qFormat/>
    <w:rPr>
      <w:rFonts w:ascii="Calibri" w:hAnsi="Calibri" w:eastAsia="ＭＳ ゴシック" w:cs="DejaVu Sans"/>
      <w:i/>
      <w:iCs/>
      <w:color w:themeColor="accent1" w:val="4F81BD"/>
      <w:spacing w:val="15"/>
      <w:sz w:val="24"/>
      <w:szCs w:val="24"/>
      <w:lang w:val="en-US" w:eastAsia="en-US"/>
    </w:rPr>
  </w:style>
  <w:style w:type="character" w:styleId="BodyTextChar">
    <w:name w:val="Body Text Char"/>
    <w:basedOn w:val="DefaultParagraphFont"/>
    <w:qFormat/>
    <w:rPr>
      <w:lang w:val="en-US" w:eastAsia="en-US"/>
    </w:rPr>
  </w:style>
  <w:style w:type="character" w:styleId="BodyText2Char">
    <w:name w:val="Body Text 2 Char"/>
    <w:basedOn w:val="DefaultParagraphFont"/>
    <w:link w:val="BodyText2"/>
    <w:qFormat/>
    <w:rPr>
      <w:lang w:val="en-US" w:eastAsia="en-US"/>
    </w:rPr>
  </w:style>
  <w:style w:type="character" w:styleId="BodyText3Char">
    <w:name w:val="Body Text 3 Char"/>
    <w:basedOn w:val="DefaultParagraphFont"/>
    <w:link w:val="BodyText3"/>
    <w:qFormat/>
    <w:rPr>
      <w:sz w:val="16"/>
      <w:szCs w:val="16"/>
      <w:lang w:val="en-US" w:eastAsia="en-US"/>
    </w:rPr>
  </w:style>
  <w:style w:type="character" w:styleId="MacroTextChar">
    <w:name w:val="Macro Text Char"/>
    <w:basedOn w:val="DefaultParagraphFont"/>
    <w:link w:val="MacroText"/>
    <w:qFormat/>
    <w:rPr>
      <w:rFonts w:ascii="Courier" w:hAnsi="Courier"/>
      <w:sz w:val="20"/>
      <w:szCs w:val="20"/>
      <w:lang w:val="en-US" w:eastAsia="en-US"/>
    </w:rPr>
  </w:style>
  <w:style w:type="character" w:styleId="QuoteChar">
    <w:name w:val="Quote Char"/>
    <w:basedOn w:val="DefaultParagraphFont"/>
    <w:link w:val="Quote"/>
    <w:qFormat/>
    <w:rPr>
      <w:i/>
      <w:iCs/>
      <w:color w:themeColor="dark1" w:val="000000"/>
      <w:lang w:val="en-US" w:eastAsia="en-US"/>
    </w:rPr>
  </w:style>
  <w:style w:type="character" w:styleId="Heading4Char">
    <w:name w:val="Heading 4 Char"/>
    <w:basedOn w:val="DefaultParagraphFont"/>
    <w:link w:val="Heading4"/>
    <w:qFormat/>
    <w:rPr>
      <w:rFonts w:ascii="Calibri" w:hAnsi="Calibri" w:eastAsia="ＭＳ ゴシック" w:cs="DejaVu Sans"/>
      <w:b/>
      <w:bCs/>
      <w:i/>
      <w:iCs/>
      <w:color w:themeColor="accent1" w:val="4F81BD"/>
      <w:lang w:val="en-US" w:eastAsia="en-US"/>
    </w:rPr>
  </w:style>
  <w:style w:type="character" w:styleId="Heading5Char">
    <w:name w:val="Heading 5 Char"/>
    <w:basedOn w:val="DefaultParagraphFont"/>
    <w:link w:val="Heading5"/>
    <w:qFormat/>
    <w:rPr>
      <w:rFonts w:ascii="Calibri" w:hAnsi="Calibri" w:eastAsia="ＭＳ ゴシック" w:cs="DejaVu Sans"/>
      <w:color w:themeColor="accent1" w:themeShade="7f" w:val="243F60"/>
      <w:lang w:val="en-US" w:eastAsia="en-US"/>
    </w:rPr>
  </w:style>
  <w:style w:type="character" w:styleId="Heading6Char">
    <w:name w:val="Heading 6 Char"/>
    <w:basedOn w:val="DefaultParagraphFont"/>
    <w:link w:val="Heading6"/>
    <w:qFormat/>
    <w:rPr>
      <w:rFonts w:ascii="Calibri" w:hAnsi="Calibri" w:eastAsia="ＭＳ ゴシック" w:cs="DejaVu Sans"/>
      <w:i/>
      <w:iCs/>
      <w:color w:themeColor="accent1" w:themeShade="7f" w:val="243F60"/>
      <w:lang w:val="en-US" w:eastAsia="en-US"/>
    </w:rPr>
  </w:style>
  <w:style w:type="character" w:styleId="Heading7Char">
    <w:name w:val="Heading 7 Char"/>
    <w:basedOn w:val="DefaultParagraphFont"/>
    <w:link w:val="Heading7"/>
    <w:qFormat/>
    <w:rPr>
      <w:rFonts w:ascii="Calibri" w:hAnsi="Calibri" w:eastAsia="ＭＳ ゴシック" w:cs="DejaVu Sans"/>
      <w:i/>
      <w:iCs/>
      <w:color w:themeColor="dark1" w:themeTint="bf" w:val="404040"/>
      <w:lang w:val="en-US" w:eastAsia="en-US"/>
    </w:rPr>
  </w:style>
  <w:style w:type="character" w:styleId="Heading8Char">
    <w:name w:val="Heading 8 Char"/>
    <w:basedOn w:val="DefaultParagraphFont"/>
    <w:link w:val="Heading8"/>
    <w:qFormat/>
    <w:rPr>
      <w:rFonts w:ascii="Calibri" w:hAnsi="Calibri" w:eastAsia="ＭＳ ゴシック" w:cs="DejaVu Sans"/>
      <w:color w:themeColor="accent1" w:val="4F81BD"/>
      <w:sz w:val="20"/>
      <w:szCs w:val="20"/>
      <w:lang w:val="en-US" w:eastAsia="en-US"/>
    </w:rPr>
  </w:style>
  <w:style w:type="character" w:styleId="Heading9Char">
    <w:name w:val="Heading 9 Char"/>
    <w:basedOn w:val="DefaultParagraphFont"/>
    <w:link w:val="Heading9"/>
    <w:qFormat/>
    <w:rPr>
      <w:rFonts w:ascii="Calibri" w:hAnsi="Calibri" w:eastAsia="ＭＳ ゴシック" w:cs="DejaVu Sans"/>
      <w:i/>
      <w:iCs/>
      <w:color w:themeColor="dark1" w:themeTint="bf" w:val="404040"/>
      <w:sz w:val="20"/>
      <w:szCs w:val="20"/>
      <w:lang w:val="en-US" w:eastAsia="en-US"/>
    </w:rPr>
  </w:style>
  <w:style w:type="character" w:styleId="Strong">
    <w:name w:val="Strong"/>
    <w:basedOn w:val="DefaultParagraphFont"/>
    <w:qFormat/>
    <w:rPr>
      <w:b/>
      <w:bCs/>
      <w:lang w:val="en-US" w:eastAsia="en-US"/>
    </w:rPr>
  </w:style>
  <w:style w:type="character" w:styleId="Emphasis">
    <w:name w:val="Emphasis"/>
    <w:basedOn w:val="DefaultParagraphFont"/>
    <w:qFormat/>
    <w:rPr>
      <w:i/>
      <w:iCs/>
      <w:lang w:val="en-US" w:eastAsia="en-US"/>
    </w:rPr>
  </w:style>
  <w:style w:type="character" w:styleId="IntenseQuoteChar">
    <w:name w:val="Intense Quote Char"/>
    <w:basedOn w:val="DefaultParagraphFont"/>
    <w:link w:val="IntenseQuote"/>
    <w:qFormat/>
    <w:rPr>
      <w:b/>
      <w:bCs/>
      <w:i/>
      <w:iCs/>
      <w:color w:themeColor="accent1" w:val="4F81BD"/>
      <w:lang w:val="en-US" w:eastAsia="en-US"/>
    </w:rPr>
  </w:style>
  <w:style w:type="character" w:styleId="SubtleEmphasis">
    <w:name w:val="Subtle Emphasis"/>
    <w:basedOn w:val="DefaultParagraphFont"/>
    <w:qFormat/>
    <w:rPr>
      <w:i/>
      <w:iCs/>
      <w:color w:themeColor="dark1" w:themeTint="7f" w:val="808080"/>
      <w:lang w:val="en-US" w:eastAsia="en-US"/>
    </w:rPr>
  </w:style>
  <w:style w:type="character" w:styleId="IntenseEmphasis">
    <w:name w:val="Intense Emphasis"/>
    <w:basedOn w:val="DefaultParagraphFont"/>
    <w:qFormat/>
    <w:rPr>
      <w:b/>
      <w:bCs/>
      <w:i/>
      <w:iCs/>
      <w:color w:themeColor="accent1" w:val="4F81BD"/>
      <w:lang w:val="en-US" w:eastAsia="en-US"/>
    </w:rPr>
  </w:style>
  <w:style w:type="character" w:styleId="SubtleReference">
    <w:name w:val="Subtle Reference"/>
    <w:basedOn w:val="DefaultParagraphFont"/>
    <w:qFormat/>
    <w:rPr>
      <w:smallCaps/>
      <w:color w:themeColor="accent2" w:val="C0504D"/>
      <w:u w:val="single"/>
      <w:lang w:val="en-US" w:eastAsia="en-US"/>
    </w:rPr>
  </w:style>
  <w:style w:type="character" w:styleId="IntenseReference">
    <w:name w:val="Intense Reference"/>
    <w:basedOn w:val="DefaultParagraphFont"/>
    <w:qFormat/>
    <w:rPr>
      <w:b/>
      <w:bCs/>
      <w:smallCaps/>
      <w:color w:themeColor="accent2" w:val="C0504D"/>
      <w:spacing w:val="5"/>
      <w:u w:val="single"/>
      <w:lang w:val="en-US" w:eastAsia="en-US"/>
    </w:rPr>
  </w:style>
  <w:style w:type="character" w:styleId="BookTitle">
    <w:name w:val="Book Title"/>
    <w:basedOn w:val="DefaultParagraphFont"/>
    <w:qFormat/>
    <w:rPr>
      <w:b/>
      <w:bCs/>
      <w:smallCaps/>
      <w:spacing w:val="5"/>
      <w:lang w:val="en-US" w:eastAsia="en-U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pPr>
      <w:spacing w:before="0" w:after="120"/>
    </w:pPr>
    <w:rPr>
      <w:lang w:val="en-US" w:eastAsia="en-US"/>
    </w:rPr>
  </w:style>
  <w:style w:type="paragraph" w:styleId="List">
    <w:name w:val="List"/>
    <w:basedOn w:val="Normal"/>
    <w:pPr>
      <w:spacing w:before="0" w:after="60"/>
      <w:ind w:hanging="360" w:start="360"/>
      <w:contextualSpacing/>
    </w:pPr>
    <w:rPr>
      <w:lang w:val="en-US" w:eastAsia="en-US"/>
    </w:rPr>
  </w:style>
  <w:style w:type="paragraph" w:styleId="Caption">
    <w:name w:val="caption"/>
    <w:basedOn w:val="Normal"/>
    <w:next w:val="Normal"/>
    <w:qFormat/>
    <w:pPr>
      <w:spacing w:lineRule="auto" w:line="240" w:before="0" w:after="100"/>
    </w:pPr>
    <w:rPr>
      <w:rFonts w:ascii="Arial" w:hAnsi="Arial" w:eastAsia="Arial"/>
      <w:b/>
      <w:bCs/>
      <w:color w:themeColor="accent1" w:val="4F81BD"/>
      <w:sz w:val="18"/>
      <w:szCs w:val="18"/>
      <w:lang w:val="en-US" w:eastAsia="en-US"/>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pPr>
      <w:tabs>
        <w:tab w:val="clear" w:pos="720"/>
        <w:tab w:val="center" w:pos="4680" w:leader="none"/>
        <w:tab w:val="right" w:pos="9360" w:leader="none"/>
      </w:tabs>
      <w:spacing w:lineRule="auto" w:line="240" w:before="0" w:after="0"/>
    </w:pPr>
    <w:rPr>
      <w:lang w:val="en-US" w:eastAsia="en-US"/>
    </w:rPr>
  </w:style>
  <w:style w:type="paragraph" w:styleId="Footer">
    <w:name w:val="footer"/>
    <w:basedOn w:val="Normal"/>
    <w:link w:val="FooterChar"/>
    <w:pPr>
      <w:tabs>
        <w:tab w:val="clear" w:pos="720"/>
        <w:tab w:val="center" w:pos="4680" w:leader="none"/>
        <w:tab w:val="right" w:pos="9360" w:leader="none"/>
      </w:tabs>
      <w:spacing w:lineRule="auto" w:line="240" w:before="0" w:after="0"/>
    </w:pPr>
    <w:rPr>
      <w:lang w:val="en-US" w:eastAsia="en-US"/>
    </w:rPr>
  </w:style>
  <w:style w:type="paragraph" w:styleId="NoSpacing">
    <w:name w:val="No Spacing"/>
    <w:qFormat/>
    <w:pPr>
      <w:widowControl/>
      <w:kinsoku w:val="true"/>
      <w:overflowPunct w:val="true"/>
      <w:autoSpaceDE w:val="true"/>
      <w:bidi w:val="0"/>
      <w:spacing w:lineRule="auto" w:line="240" w:before="0" w:after="0"/>
      <w:jc w:val="start"/>
    </w:pPr>
    <w:rPr>
      <w:rFonts w:ascii="Cambria" w:hAnsi="Cambria" w:eastAsia="ＭＳ 明朝"/>
      <w:color w:val="auto"/>
      <w:kern w:val="0"/>
      <w:sz w:val="22"/>
      <w:szCs w:val="22"/>
      <w:lang w:val="en-US" w:eastAsia="en-US" w:bidi="ar-SA"/>
    </w:rPr>
  </w:style>
  <w:style w:type="paragraph" w:styleId="Title">
    <w:name w:val="Title"/>
    <w:basedOn w:val="Normal"/>
    <w:next w:val="Normal"/>
    <w:link w:val="TitleChar"/>
    <w:qFormat/>
    <w:pPr>
      <w:pBdr>
        <w:bottom w:val="single" w:sz="8" w:space="4" w:color="4F81BD"/>
      </w:pBdr>
      <w:spacing w:lineRule="auto" w:line="240" w:before="0" w:after="300"/>
      <w:contextualSpacing/>
    </w:pPr>
    <w:rPr>
      <w:rFonts w:ascii="Calibri" w:hAnsi="Calibri" w:eastAsia="ＭＳ ゴシック" w:cs="DejaVu Sans"/>
      <w:b/>
      <w:color w:themeColor="dark2" w:themeShade="bf" w:val="17365D"/>
      <w:spacing w:val="5"/>
      <w:kern w:val="2"/>
      <w:sz w:val="46"/>
      <w:szCs w:val="52"/>
      <w:lang w:val="en-US" w:eastAsia="en-US"/>
    </w:rPr>
  </w:style>
  <w:style w:type="paragraph" w:styleId="Subtitle">
    <w:name w:val="Subtitle"/>
    <w:basedOn w:val="Normal"/>
    <w:next w:val="Normal"/>
    <w:link w:val="SubtitleChar"/>
    <w:qFormat/>
    <w:pPr/>
    <w:rPr>
      <w:rFonts w:ascii="Calibri" w:hAnsi="Calibri" w:eastAsia="ＭＳ ゴシック" w:cs="DejaVu Sans"/>
      <w:b/>
      <w:i/>
      <w:iCs/>
      <w:color w:themeColor="accent1" w:val="4F81BD"/>
      <w:spacing w:val="15"/>
      <w:sz w:val="30"/>
      <w:szCs w:val="24"/>
      <w:lang w:val="en-US" w:eastAsia="en-US"/>
    </w:rPr>
  </w:style>
  <w:style w:type="paragraph" w:styleId="ListParagraph">
    <w:name w:val="List Paragraph"/>
    <w:basedOn w:val="Normal"/>
    <w:qFormat/>
    <w:pPr>
      <w:spacing w:before="0" w:after="60"/>
      <w:ind w:start="720"/>
      <w:contextualSpacing/>
    </w:pPr>
    <w:rPr>
      <w:lang w:val="en-US" w:eastAsia="en-US"/>
    </w:rPr>
  </w:style>
  <w:style w:type="paragraph" w:styleId="BodyText2">
    <w:name w:val="Body Text 2"/>
    <w:basedOn w:val="Normal"/>
    <w:link w:val="BodyText2Char"/>
    <w:qFormat/>
    <w:pPr>
      <w:spacing w:lineRule="auto" w:line="480" w:before="0" w:after="120"/>
    </w:pPr>
    <w:rPr>
      <w:lang w:val="en-US" w:eastAsia="en-US"/>
    </w:rPr>
  </w:style>
  <w:style w:type="paragraph" w:styleId="BodyText3">
    <w:name w:val="Body Text 3"/>
    <w:basedOn w:val="Normal"/>
    <w:link w:val="BodyText3Char"/>
    <w:qFormat/>
    <w:pPr>
      <w:spacing w:before="0" w:after="120"/>
    </w:pPr>
    <w:rPr>
      <w:sz w:val="16"/>
      <w:szCs w:val="16"/>
      <w:lang w:val="en-US" w:eastAsia="en-US"/>
    </w:rPr>
  </w:style>
  <w:style w:type="paragraph" w:styleId="List2">
    <w:name w:val="List 2"/>
    <w:basedOn w:val="Normal"/>
    <w:qFormat/>
    <w:pPr>
      <w:spacing w:before="0" w:after="60"/>
      <w:ind w:hanging="360" w:start="720"/>
      <w:contextualSpacing/>
    </w:pPr>
    <w:rPr>
      <w:lang w:val="en-US" w:eastAsia="en-US"/>
    </w:rPr>
  </w:style>
  <w:style w:type="paragraph" w:styleId="List3">
    <w:name w:val="List 3"/>
    <w:basedOn w:val="Normal"/>
    <w:qFormat/>
    <w:pPr>
      <w:spacing w:before="0" w:after="60"/>
      <w:ind w:hanging="360" w:start="1080"/>
      <w:contextualSpacing/>
    </w:pPr>
    <w:rPr>
      <w:lang w:val="en-US" w:eastAsia="en-US"/>
    </w:rPr>
  </w:style>
  <w:style w:type="paragraph" w:styleId="ListBullet">
    <w:name w:val="List Bullet"/>
    <w:basedOn w:val="Normal"/>
    <w:pPr>
      <w:numPr>
        <w:ilvl w:val="0"/>
        <w:numId w:val="2"/>
      </w:numPr>
      <w:spacing w:before="0" w:after="60"/>
      <w:contextualSpacing/>
    </w:pPr>
    <w:rPr>
      <w:lang w:val="en-US" w:eastAsia="en-US"/>
    </w:rPr>
  </w:style>
  <w:style w:type="paragraph" w:styleId="ListBullet2">
    <w:name w:val="List Bullet 2"/>
    <w:basedOn w:val="Normal"/>
    <w:pPr>
      <w:numPr>
        <w:ilvl w:val="0"/>
        <w:numId w:val="3"/>
      </w:numPr>
      <w:spacing w:before="0" w:after="60"/>
      <w:contextualSpacing/>
    </w:pPr>
    <w:rPr>
      <w:lang w:val="en-US" w:eastAsia="en-US"/>
    </w:rPr>
  </w:style>
  <w:style w:type="paragraph" w:styleId="ListBullet3">
    <w:name w:val="List Bullet 3"/>
    <w:basedOn w:val="Normal"/>
    <w:pPr>
      <w:numPr>
        <w:ilvl w:val="0"/>
        <w:numId w:val="4"/>
      </w:numPr>
      <w:spacing w:before="0" w:after="60"/>
      <w:contextualSpacing/>
    </w:pPr>
    <w:rPr>
      <w:lang w:val="en-US" w:eastAsia="en-US"/>
    </w:rPr>
  </w:style>
  <w:style w:type="paragraph" w:styleId="ListNumber">
    <w:name w:val="List Number"/>
    <w:basedOn w:val="Normal"/>
    <w:pPr>
      <w:numPr>
        <w:ilvl w:val="0"/>
        <w:numId w:val="5"/>
      </w:numPr>
      <w:spacing w:before="0" w:after="60"/>
      <w:contextualSpacing/>
    </w:pPr>
    <w:rPr>
      <w:lang w:val="en-US" w:eastAsia="en-US"/>
    </w:rPr>
  </w:style>
  <w:style w:type="paragraph" w:styleId="ListNumber2">
    <w:name w:val="List Number 2"/>
    <w:basedOn w:val="Normal"/>
    <w:pPr>
      <w:numPr>
        <w:ilvl w:val="0"/>
        <w:numId w:val="6"/>
      </w:numPr>
      <w:spacing w:before="0" w:after="60"/>
      <w:contextualSpacing/>
    </w:pPr>
    <w:rPr>
      <w:lang w:val="en-US" w:eastAsia="en-US"/>
    </w:rPr>
  </w:style>
  <w:style w:type="paragraph" w:styleId="ListNumber3">
    <w:name w:val="List Number 3"/>
    <w:basedOn w:val="Normal"/>
    <w:pPr>
      <w:numPr>
        <w:ilvl w:val="0"/>
        <w:numId w:val="7"/>
      </w:numPr>
      <w:spacing w:before="0" w:after="60"/>
      <w:contextualSpacing/>
    </w:pPr>
    <w:rPr>
      <w:lang w:val="en-US" w:eastAsia="en-US"/>
    </w:rPr>
  </w:style>
  <w:style w:type="paragraph" w:styleId="ListContinue">
    <w:name w:val="List Continue"/>
    <w:basedOn w:val="Normal"/>
    <w:pPr>
      <w:spacing w:before="0" w:after="120"/>
      <w:ind w:start="360"/>
      <w:contextualSpacing/>
    </w:pPr>
    <w:rPr>
      <w:lang w:val="en-US" w:eastAsia="en-US"/>
    </w:rPr>
  </w:style>
  <w:style w:type="paragraph" w:styleId="ListContinue2">
    <w:name w:val="List Continue 2"/>
    <w:basedOn w:val="Normal"/>
    <w:pPr>
      <w:spacing w:before="0" w:after="120"/>
      <w:ind w:start="720"/>
      <w:contextualSpacing/>
    </w:pPr>
    <w:rPr>
      <w:lang w:val="en-US" w:eastAsia="en-US"/>
    </w:rPr>
  </w:style>
  <w:style w:type="paragraph" w:styleId="ListContinue3">
    <w:name w:val="List Continue 3"/>
    <w:basedOn w:val="Normal"/>
    <w:pPr>
      <w:spacing w:before="0" w:after="120"/>
      <w:ind w:start="1080"/>
      <w:contextualSpacing/>
    </w:pPr>
    <w:rPr>
      <w:lang w:val="en-US" w:eastAsia="en-US"/>
    </w:rPr>
  </w:style>
  <w:style w:type="paragraph" w:styleId="MacroText">
    <w:name w:val="macro"/>
    <w:link w:val="MacroTextChar"/>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kinsoku w:val="true"/>
      <w:overflowPunct w:val="true"/>
      <w:autoSpaceDE w:val="true"/>
      <w:bidi w:val="0"/>
      <w:spacing w:lineRule="auto" w:line="276" w:before="0" w:after="200"/>
      <w:jc w:val="start"/>
    </w:pPr>
    <w:rPr>
      <w:rFonts w:ascii="Courier" w:hAnsi="Courier" w:eastAsia="ＭＳ 明朝"/>
      <w:color w:val="auto"/>
      <w:kern w:val="0"/>
      <w:sz w:val="20"/>
      <w:szCs w:val="20"/>
      <w:lang w:val="en-US" w:eastAsia="en-US" w:bidi="ar-SA"/>
    </w:rPr>
  </w:style>
  <w:style w:type="paragraph" w:styleId="Quote">
    <w:name w:val="Quote"/>
    <w:basedOn w:val="Normal"/>
    <w:next w:val="Normal"/>
    <w:link w:val="QuoteChar"/>
    <w:qFormat/>
    <w:pPr/>
    <w:rPr>
      <w:i/>
      <w:iCs/>
      <w:color w:themeColor="dark1" w:val="000000"/>
      <w:lang w:val="en-US" w:eastAsia="en-US"/>
    </w:rPr>
  </w:style>
  <w:style w:type="paragraph" w:styleId="IntenseQuote">
    <w:name w:val="Intense Quote"/>
    <w:basedOn w:val="Normal"/>
    <w:next w:val="Normal"/>
    <w:link w:val="IntenseQuoteChar"/>
    <w:qFormat/>
    <w:pPr>
      <w:pBdr>
        <w:bottom w:val="single" w:sz="4" w:space="4" w:color="4F81BD"/>
      </w:pBdr>
      <w:spacing w:before="200" w:after="280"/>
      <w:ind w:start="936" w:end="936"/>
    </w:pPr>
    <w:rPr>
      <w:b/>
      <w:bCs/>
      <w:i/>
      <w:iCs/>
      <w:color w:themeColor="accent1" w:val="4F81BD"/>
      <w:lang w:val="en-US" w:eastAsia="en-US"/>
    </w:rPr>
  </w:style>
  <w:style w:type="paragraph" w:styleId="IndexHeading">
    <w:name w:val="index heading"/>
    <w:basedOn w:val="Heading"/>
    <w:pPr/>
    <w:rPr/>
  </w:style>
  <w:style w:type="paragraph" w:styleId="TOCHeading">
    <w:name w:val="TOC Heading"/>
    <w:basedOn w:val="Heading1"/>
    <w:next w:val="Normal"/>
    <w:qFormat/>
    <w:pPr>
      <w:outlineLvl w:val="9"/>
    </w:pPr>
    <w:rPr>
      <w:lang w:val="en-US" w:eastAsia="en-US"/>
    </w:rPr>
  </w:style>
  <w:style w:type="paragraph" w:styleId="Prompt">
    <w:name w:val="Prompt"/>
    <w:qFormat/>
    <w:pPr>
      <w:widowControl/>
      <w:kinsoku w:val="true"/>
      <w:overflowPunct w:val="true"/>
      <w:autoSpaceDE w:val="true"/>
      <w:bidi w:val="0"/>
      <w:spacing w:lineRule="auto" w:line="240" w:before="0" w:after="100"/>
      <w:jc w:val="start"/>
    </w:pPr>
    <w:rPr>
      <w:rFonts w:ascii="Arial" w:hAnsi="Arial" w:eastAsia="Arial"/>
      <w:i/>
      <w:color w:val="3C3C3C"/>
      <w:kern w:val="0"/>
      <w:sz w:val="19"/>
      <w:szCs w:val="22"/>
      <w:lang w:val="en-US" w:eastAsia="en-US" w:bidi="ar-SA"/>
    </w:rPr>
  </w:style>
  <w:style w:type="paragraph" w:styleId="ResponsePlaceholder">
    <w:name w:val="Response Placeholder"/>
    <w:qFormat/>
    <w:pPr>
      <w:widowControl/>
      <w:kinsoku w:val="true"/>
      <w:overflowPunct w:val="true"/>
      <w:autoSpaceDE w:val="true"/>
      <w:bidi w:val="0"/>
      <w:spacing w:lineRule="auto" w:line="336" w:before="0" w:after="160"/>
      <w:jc w:val="start"/>
    </w:pPr>
    <w:rPr>
      <w:rFonts w:ascii="Times New Roman" w:hAnsi="Times New Roman" w:eastAsia="Arial"/>
      <w:color w:val="auto"/>
      <w:kern w:val="0"/>
      <w:sz w:val="22"/>
      <w:szCs w:val="22"/>
      <w:lang w:val="en-US" w:eastAsia="en-US" w:bidi="ar-SA"/>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LibreOffice/25.2.3.2$Linux_X86_64 LibreOffice_project/520$Build-2</Application>
  <AppVersion>15.0000</AppVersion>
  <Pages>17</Pages>
  <Words>2667</Words>
  <Characters>16099</Characters>
  <CharactersWithSpaces>18211</CharactersWithSpaces>
  <Paragraphs>469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Report-only template. Laboratory setup and execution instructions are omitted; students enter previously collected results in the tables and answer the numbered report questions.</dc:description>
  <cp:keywords>ECE 486 reaction wheel pendulum final project accessible Word template</cp:keywords>
  <dc:language>en-US</dc:language>
  <cp:lastModifiedBy/>
  <dcterms:modified xsi:type="dcterms:W3CDTF">2013-12-23T23:15:00Z</dcterms:modified>
  <cp:revision>1</cp:revision>
  <dc:subject>Integrated numbered report questions, fill-in tables, and analysis guidance</dc:subject>
  <dc:title>ECE 486 Final Project Report Template: The Reaction Wheel Pendulum</dc:title>
</cp:coreProperties>
</file>

<file path=docProps/custom.xml><?xml version="1.0" encoding="utf-8"?>
<Properties xmlns="http://schemas.openxmlformats.org/officeDocument/2006/custom-properties" xmlns:vt="http://schemas.openxmlformats.org/officeDocument/2006/docPropsVTypes"/>
</file>