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Responses to Grader</w:t>
      </w:r>
    </w:p>
    <w:p>
      <w:pPr>
        <w:spacing w:after="200"/>
        <w:jc w:val="center"/>
      </w:pPr>
      <w:r>
        <w:rPr>
          <w:rFonts w:ascii="Times New Roman" w:hAnsi="Times New Roman"/>
          <w:i/>
          <w:sz w:val="22"/>
        </w:rPr>
        <w:t>ECE445 Senior Design SP26 — Project #17: Machine Vision-Based Intelligent Fruit and Vegetable Picking &amp; Sorting Robotic Arm</w:t>
      </w:r>
    </w:p>
    <w:tbl>
      <w:tblPr>
        <w:tblW w:type="auto" w:w="0"/>
        <w:jc w:val="center"/>
        <w:tblLayout w:type="fixed"/>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D9D9D9"/>
          </w:tcPr>
          <w:p>
            <w:r/>
          </w:p>
          <w:p>
            <w:pPr>
              <w:spacing w:after="80" w:line="276" w:lineRule="auto"/>
            </w:pPr>
            <w:r>
              <w:rPr>
                <w:rFonts w:ascii="Times New Roman" w:hAnsi="Times New Roman"/>
                <w:b/>
                <w:sz w:val="24"/>
              </w:rPr>
              <w:t>Response to Grader Comments</w:t>
            </w:r>
          </w:p>
        </w:tc>
      </w:tr>
    </w:tbl>
    <w:tbl>
      <w:tblPr>
        <w:tblW w:type="auto" w:w="0"/>
        <w:jc w:val="center"/>
        <w:tblLayout w:type="fixed"/>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2F2F2"/>
          </w:tcPr>
          <w:p>
            <w:r/>
          </w:p>
          <w:p>
            <w:pPr>
              <w:spacing w:after="80" w:line="276" w:lineRule="auto"/>
            </w:pPr>
            <w:r>
              <w:rPr>
                <w:rFonts w:ascii="Times New Roman" w:hAnsi="Times New Roman"/>
                <w:b/>
              </w:rPr>
              <w:t>1. Summary</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 xml:space="preserve">We sincerely thank the grader for the careful review of our Senior Design Report and for the detailed scoring feedback. We fully acknowledge the deductions in the Introduction, Design, and Cost &amp; Schedule sections, and we have substantially revised the manuscript to address every point. The point-by-point responses are provided below, and the corresponding revisions can be located in the resubmitted file </w:t>
            </w:r>
            <w:r>
              <w:rPr>
                <w:rFonts w:ascii="Times New Roman" w:hAnsi="Times New Roman"/>
                <w:i/>
              </w:rPr>
              <w:t>Senior_Design_Report_Revised.docx</w:t>
            </w:r>
            <w:r>
              <w:rPr>
                <w:rFonts w:ascii="Times New Roman" w:hAnsi="Times New Roman"/>
              </w:rPr>
              <w:t>.</w:t>
            </w:r>
          </w:p>
        </w:tc>
      </w:tr>
    </w:tbl>
    <w:tbl>
      <w:tblPr>
        <w:tblW w:type="auto" w:w="0"/>
        <w:jc w:val="center"/>
        <w:tblLayout w:type="fixed"/>
        <w:tblLook w:firstColumn="1" w:firstRow="1" w:lastColumn="0" w:lastRow="0" w:noHBand="0" w:noVBand="1" w:val="04A0"/>
      </w:tblPr>
      <w:tblGrid>
        <w:gridCol w:w="6803"/>
        <w:gridCol w:w="2835"/>
      </w:tblGrid>
      <w:tr>
        <w:tc>
          <w:tcPr>
            <w:tcW w:type="dxa" w:w="4819"/>
            <w:tcBorders>
              <w:top w:val="single" w:sz="6" w:color="808080"/>
              <w:left w:val="single" w:sz="6" w:color="808080"/>
              <w:bottom w:val="single" w:sz="6" w:color="808080"/>
              <w:right w:val="single" w:sz="6" w:color="808080"/>
            </w:tcBorders>
            <w:shd w:val="clear" w:color="auto" w:fill="F2F2F2"/>
          </w:tcPr>
          <w:p>
            <w:r/>
          </w:p>
          <w:p>
            <w:pPr>
              <w:spacing w:after="80" w:line="276" w:lineRule="auto"/>
            </w:pPr>
            <w:r>
              <w:rPr>
                <w:rFonts w:ascii="Times New Roman" w:hAnsi="Times New Roman"/>
                <w:b/>
              </w:rPr>
              <w:t>2. Section-by-Section Score Summary</w:t>
            </w:r>
          </w:p>
        </w:tc>
        <w:tc>
          <w:tcPr>
            <w:tcW w:type="dxa" w:w="4819"/>
            <w:tcBorders>
              <w:top w:val="single" w:sz="6" w:color="808080"/>
              <w:left w:val="single" w:sz="6" w:color="808080"/>
              <w:bottom w:val="single" w:sz="6" w:color="808080"/>
              <w:right w:val="single" w:sz="6" w:color="808080"/>
            </w:tcBorders>
            <w:shd w:val="clear" w:color="auto" w:fill="F2F2F2"/>
          </w:tcPr>
          <w:p>
            <w:r/>
          </w:p>
          <w:p>
            <w:pPr>
              <w:spacing w:after="80" w:line="276" w:lineRule="auto"/>
              <w:jc w:val="center"/>
            </w:pPr>
            <w:r>
              <w:rPr>
                <w:rFonts w:ascii="Times New Roman" w:hAnsi="Times New Roman"/>
                <w:b/>
              </w:rPr>
              <w:t>Grader's Score</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Introduction — overall block diagram present and clear</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2 / 5 → addressed</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Design — figures, equations, and tables properly numbered</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3 / 9 → addressed</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Design — final-product images included</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(included above)</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Cost &amp; Schedule — total cost reported</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1 / 2 → addressed</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Requirements &amp; Verifications — quantitative criteria with results</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8 / 8 (no change)</w:t>
            </w:r>
          </w:p>
        </w:tc>
      </w:tr>
      <w:tr>
        <w:tc>
          <w:tcPr>
            <w:tcW w:type="dxa" w:w="4819"/>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rPr>
              <w:t>Conclusions — accomplishments, uncertainties, future work, ethics</w:t>
            </w:r>
          </w:p>
        </w:tc>
        <w:tc>
          <w:tcPr>
            <w:tcW w:type="dxa" w:w="4819"/>
            <w:tcBorders>
              <w:top w:val="single" w:sz="6" w:color="808080"/>
              <w:left w:val="single" w:sz="6" w:color="808080"/>
              <w:bottom w:val="single" w:sz="6" w:color="808080"/>
              <w:right w:val="single" w:sz="6" w:color="808080"/>
            </w:tcBorders>
          </w:tcPr>
          <w:p>
            <w:r/>
          </w:p>
          <w:p>
            <w:pPr>
              <w:spacing w:after="80" w:line="276" w:lineRule="auto"/>
              <w:jc w:val="center"/>
            </w:pPr>
            <w:r>
              <w:rPr>
                <w:rFonts w:ascii="Times New Roman" w:hAnsi="Times New Roman"/>
              </w:rPr>
              <w:t>6 / 6 (no change)</w:t>
            </w:r>
          </w:p>
        </w:tc>
      </w:tr>
    </w:tbl>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2F2F2"/>
          </w:tcPr>
          <w:p>
            <w:r/>
          </w:p>
          <w:p>
            <w:pPr>
              <w:spacing w:after="80" w:line="276" w:lineRule="auto"/>
            </w:pPr>
            <w:r>
              <w:rPr>
                <w:rFonts w:ascii="Times New Roman" w:hAnsi="Times New Roman"/>
                <w:b/>
              </w:rPr>
              <w:t xml:space="preserve">Original total: </w:t>
            </w:r>
            <w:r>
              <w:rPr>
                <w:rFonts w:ascii="Times New Roman" w:hAnsi="Times New Roman"/>
              </w:rPr>
              <w:t xml:space="preserve">20 / 30.  </w:t>
            </w:r>
            <w:r>
              <w:rPr>
                <w:rFonts w:ascii="Times New Roman" w:hAnsi="Times New Roman"/>
              </w:rPr>
              <w:t>After revisions, all flagged items have been addressed; please see the point-by-point responses below.</w:t>
            </w:r>
          </w:p>
        </w:tc>
      </w:tr>
    </w:tbl>
    <w:p/>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2F2F2"/>
          </w:tcPr>
          <w:p>
            <w:r/>
          </w:p>
          <w:p>
            <w:pPr>
              <w:spacing w:after="80" w:line="276" w:lineRule="auto"/>
            </w:pPr>
            <w:r>
              <w:rPr>
                <w:rFonts w:ascii="Times New Roman" w:hAnsi="Times New Roman"/>
                <w:b/>
              </w:rPr>
              <w:t>3. Point-by-Point Response to Grader Comments</w:t>
            </w:r>
          </w:p>
        </w:tc>
      </w:tr>
    </w:tbl>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BE9E7"/>
          </w:tcPr>
          <w:p>
            <w:r/>
          </w:p>
          <w:p>
            <w:pPr>
              <w:spacing w:after="80" w:line="276" w:lineRule="auto"/>
            </w:pPr>
            <w:r>
              <w:rPr>
                <w:rFonts w:ascii="Times New Roman" w:hAnsi="Times New Roman"/>
                <w:b/>
              </w:rPr>
              <w:t xml:space="preserve">Comment 1: </w:t>
            </w:r>
            <w:r>
              <w:rPr>
                <w:rFonts w:ascii="Times New Roman" w:hAnsi="Times New Roman"/>
              </w:rPr>
              <w:t>Introduction (2/5): missing overall block diagram.</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b/>
              </w:rPr>
              <w:t xml:space="preserve">Response 1: </w:t>
            </w:r>
            <w:r>
              <w:rPr>
                <w:rFonts w:ascii="Times New Roman" w:hAnsi="Times New Roman"/>
              </w:rPr>
              <w:t>We thank the grader for this observation and fully agree that the original Introduction lacked a system-level visual summary. In the revised manuscript, a new overall block diagram has been added as Figure 1 at the end of Section 1. The diagram explicitly shows the four interconnected subsystems — Perception, Control, Actuation, and Power — together with the direction of signal flow and the split-rail power distribution. A short introductory paragraph has also been added immediately before the figure so that the reader is guided through the diagram on first reading.</w:t>
            </w:r>
          </w:p>
          <w:p>
            <w:pPr>
              <w:spacing w:after="80" w:line="276" w:lineRule="auto"/>
            </w:pPr>
            <w:r>
              <w:rPr>
                <w:rFonts w:ascii="Times New Roman" w:hAnsi="Times New Roman"/>
                <w:i/>
              </w:rPr>
              <w:t xml:space="preserve">Location in revised report: </w:t>
            </w:r>
            <w:r>
              <w:rPr>
                <w:rFonts w:ascii="Times New Roman" w:hAnsi="Times New Roman"/>
              </w:rPr>
              <w:t>end of Section 1 (Introduction), immediately before Section 2 (Design); see new Figure 1 and its caption.</w:t>
            </w:r>
          </w:p>
          <w:p>
            <w:pPr>
              <w:spacing w:after="80" w:line="276" w:lineRule="auto"/>
            </w:pPr>
            <w:r>
              <w:rPr>
                <w:rFonts w:ascii="Times New Roman" w:hAnsi="Times New Roman"/>
                <w:i/>
                <w:color w:val="7F6000"/>
              </w:rPr>
              <w:t>[</w:t>
            </w:r>
            <w:r>
              <w:rPr>
                <w:rFonts w:ascii="Times New Roman" w:hAnsi="Times New Roman"/>
                <w:i/>
                <w:color w:val="7F6000"/>
              </w:rPr>
              <w:t>Figure 1 below summarizes how the four subsystems are connected. Visual data flows from the perception block into the ESP32-S3 controller, which converts target coordinates into joint commands and drives the six STS3215 servos through the URT-1 bus bridge. The power subsystem feeds two isolated rails: a 12 V high-current rail for the servos and a regulated 5 V rail for the logic side. Encoder and current telemetry from each servo is returned to the controller to close the loop.</w:t>
            </w:r>
            <w:r>
              <w:rPr>
                <w:rFonts w:ascii="Times New Roman" w:hAnsi="Times New Roman"/>
                <w:i/>
                <w:color w:val="7F6000"/>
              </w:rPr>
              <w:t>]</w:t>
            </w:r>
          </w:p>
        </w:tc>
      </w:tr>
    </w:tbl>
    <w:p/>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BE9E7"/>
          </w:tcPr>
          <w:p>
            <w:r/>
          </w:p>
          <w:p>
            <w:pPr>
              <w:spacing w:after="80" w:line="276" w:lineRule="auto"/>
            </w:pPr>
            <w:r>
              <w:rPr>
                <w:rFonts w:ascii="Times New Roman" w:hAnsi="Times New Roman"/>
                <w:b/>
              </w:rPr>
              <w:t xml:space="preserve">Comment 2: </w:t>
            </w:r>
            <w:r>
              <w:rPr>
                <w:rFonts w:ascii="Times New Roman" w:hAnsi="Times New Roman"/>
              </w:rPr>
              <w:t>Design (3/9): figures, equations, and tables have no numbers on them.</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b/>
              </w:rPr>
              <w:t xml:space="preserve">Response 2: </w:t>
            </w:r>
            <w:r>
              <w:rPr>
                <w:rFonts w:ascii="Times New Roman" w:hAnsi="Times New Roman"/>
              </w:rPr>
              <w:t>We thank the grader for highlighting this. In the revised report, every figure, every displayed equation, and every table has been explicitly numbered and given a descriptive caption, consistent across all sections:</w:t>
            </w:r>
          </w:p>
          <w:p>
            <w:pPr>
              <w:spacing w:after="80" w:line="276" w:lineRule="auto"/>
            </w:pPr>
            <w:r>
              <w:rPr>
                <w:rFonts w:ascii="Times New Roman" w:hAnsi="Times New Roman"/>
                <w:i/>
              </w:rPr>
              <w:t xml:space="preserve">Location in revised report: </w:t>
            </w:r>
            <w:r>
              <w:rPr>
                <w:rFonts w:ascii="Times New Roman" w:hAnsi="Times New Roman"/>
              </w:rPr>
              <w:t>throughout Section 2 (Design), Section 3 (Cost &amp; Schedule), and Section 4 (Requirements &amp; Verifications). Figure 1 appears before Section 2; Figure 10 appears before Section 3.</w:t>
            </w:r>
          </w:p>
          <w:p>
            <w:pPr>
              <w:spacing w:after="80" w:line="276" w:lineRule="auto"/>
            </w:pPr>
            <w:r>
              <w:rPr>
                <w:rFonts w:ascii="Times New Roman" w:hAnsi="Times New Roman"/>
                <w:i/>
                <w:color w:val="7F6000"/>
              </w:rPr>
              <w:t>[</w:t>
            </w:r>
            <w:r>
              <w:rPr>
                <w:rFonts w:ascii="Times New Roman" w:hAnsi="Times New Roman"/>
                <w:i/>
                <w:color w:val="7F6000"/>
              </w:rPr>
              <w:t>Figures: all 8 pre-existing subsystem figures (originally placed in Sections 1.3 and 2.4) now carry sequential captions Figure 2 through Figure 9. Two additional figures have been added — Figure 1 (overall block diagram, see Comment 1) and Figure 10 (Vision-to-Motion Pipeline Workflow, added at the end of Section 2.4).</w:t>
            </w:r>
            <w:r>
              <w:rPr>
                <w:rFonts w:ascii="Times New Roman" w:hAnsi="Times New Roman"/>
                <w:i/>
                <w:color w:val="7F6000"/>
              </w:rPr>
              <w:t>]</w:t>
            </w:r>
          </w:p>
          <w:p>
            <w:pPr>
              <w:spacing w:after="80" w:line="276" w:lineRule="auto"/>
            </w:pPr>
            <w:r>
              <w:rPr>
                <w:rFonts w:ascii="Times New Roman" w:hAnsi="Times New Roman"/>
                <w:i/>
                <w:color w:val="7F6000"/>
              </w:rPr>
              <w:t>[</w:t>
            </w:r>
            <w:r>
              <w:rPr>
                <w:rFonts w:ascii="Times New Roman" w:hAnsi="Times New Roman"/>
                <w:i/>
                <w:color w:val="7F6000"/>
              </w:rPr>
              <w:t>Equations: all 14 displayed equations in Sections 2.1.2 through 2.1.5 have been assigned right-aligned numeric tags (1) through (14). Inline expressions embedded inside running prose remain unnumbered, following standard engineering style.</w:t>
            </w:r>
            <w:r>
              <w:rPr>
                <w:rFonts w:ascii="Times New Roman" w:hAnsi="Times New Roman"/>
                <w:i/>
                <w:color w:val="7F6000"/>
              </w:rPr>
              <w:t>]</w:t>
            </w:r>
          </w:p>
          <w:p>
            <w:pPr>
              <w:spacing w:after="80" w:line="276" w:lineRule="auto"/>
            </w:pPr>
            <w:r>
              <w:rPr>
                <w:rFonts w:ascii="Times New Roman" w:hAnsi="Times New Roman"/>
                <w:i/>
                <w:color w:val="7F6000"/>
              </w:rPr>
              <w:t>[</w:t>
            </w:r>
            <w:r>
              <w:rPr>
                <w:rFonts w:ascii="Times New Roman" w:hAnsi="Times New Roman"/>
                <w:i/>
                <w:color w:val="7F6000"/>
              </w:rPr>
              <w:t>Tables: all 6 tables — the cost BOM, the development schedule, and the four Requirements-and-Verification matrices — now carry bold left-aligned captions Table 1 through Table 6. Captions are placed immediately above each table as required by IEEE style.</w:t>
            </w:r>
            <w:r>
              <w:rPr>
                <w:rFonts w:ascii="Times New Roman" w:hAnsi="Times New Roman"/>
                <w:i/>
                <w:color w:val="7F6000"/>
              </w:rPr>
              <w:t>]</w:t>
            </w:r>
          </w:p>
        </w:tc>
      </w:tr>
    </w:tbl>
    <w:p/>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BE9E7"/>
          </w:tcPr>
          <w:p>
            <w:r/>
          </w:p>
          <w:p>
            <w:pPr>
              <w:spacing w:after="80" w:line="276" w:lineRule="auto"/>
            </w:pPr>
            <w:r>
              <w:rPr>
                <w:rFonts w:ascii="Times New Roman" w:hAnsi="Times New Roman"/>
                <w:b/>
              </w:rPr>
              <w:t xml:space="preserve">Comment 3: </w:t>
            </w:r>
            <w:r>
              <w:rPr>
                <w:rFonts w:ascii="Times New Roman" w:hAnsi="Times New Roman"/>
              </w:rPr>
              <w:t>Design (3/9): missing images of final product.</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b/>
              </w:rPr>
              <w:t xml:space="preserve">Response 3: </w:t>
            </w:r>
            <w:r>
              <w:rPr>
                <w:rFonts w:ascii="Times New Roman" w:hAnsi="Times New Roman"/>
              </w:rPr>
              <w:t>We thank the grader for catching this omission. A new subsection 4.5 "Final Integrated Prototype" has been added before the Conclusion. The subsection provides a written description of the fully assembled hardware and includes photographs of the prototype in two views: (a) the full robotic arm with overhead camera rig and sorting bins, and (b) a close-up of the soft-touch gripper holding a target sample. These two images are labeled Figure 11 and Figure 12 respectively.</w:t>
            </w:r>
          </w:p>
          <w:p>
            <w:pPr>
              <w:spacing w:after="80" w:line="276" w:lineRule="auto"/>
            </w:pPr>
            <w:r>
              <w:rPr>
                <w:rFonts w:ascii="Times New Roman" w:hAnsi="Times New Roman"/>
                <w:i/>
              </w:rPr>
              <w:t xml:space="preserve">Location in revised report: </w:t>
            </w:r>
            <w:r>
              <w:rPr>
                <w:rFonts w:ascii="Times New Roman" w:hAnsi="Times New Roman"/>
              </w:rPr>
              <w:t>new Section 4.5 "Final Integrated Prototype," placed immediately before Section 5 (Conclusion); see Figures 11 and 12.</w:t>
            </w:r>
          </w:p>
          <w:p>
            <w:pPr>
              <w:spacing w:after="80" w:line="276" w:lineRule="auto"/>
            </w:pPr>
            <w:r>
              <w:rPr>
                <w:rFonts w:ascii="Times New Roman" w:hAnsi="Times New Roman"/>
                <w:i/>
                <w:color w:val="7F6000"/>
              </w:rPr>
              <w:t>[</w:t>
            </w:r>
            <w:r>
              <w:rPr>
                <w:rFonts w:ascii="Times New Roman" w:hAnsi="Times New Roman"/>
                <w:i/>
                <w:color w:val="7F6000"/>
              </w:rPr>
              <w:t>The completed prototype integrates all four subsystems on a single workbench. Figure 11 shows the assembled 6-DOF robotic arm mounted on its acrylic base, with the Logitech C270i camera fixed on an overhead aluminum rig. The ESP32-S3 controller, URT-1 bridge, 12 V supply, and DC-DC buck regulator are mounted on a side breadboard panel for clear visual inspection during demonstrations. The soft-touch gripper is fabricated from TPU and PLA hybrid prints to balance compliance with structural rigidity. During the final demonstration the system sorted 50 mixed red/green produce samples with a 92% overall pick-and-place success rate, as reported in Section 5.1.</w:t>
            </w:r>
            <w:r>
              <w:rPr>
                <w:rFonts w:ascii="Times New Roman" w:hAnsi="Times New Roman"/>
                <w:i/>
                <w:color w:val="7F6000"/>
              </w:rPr>
              <w:t>]</w:t>
            </w:r>
          </w:p>
        </w:tc>
      </w:tr>
    </w:tbl>
    <w:p/>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BE9E7"/>
          </w:tcPr>
          <w:p>
            <w:r/>
          </w:p>
          <w:p>
            <w:pPr>
              <w:spacing w:after="80" w:line="276" w:lineRule="auto"/>
            </w:pPr>
            <w:r>
              <w:rPr>
                <w:rFonts w:ascii="Times New Roman" w:hAnsi="Times New Roman"/>
                <w:b/>
              </w:rPr>
              <w:t xml:space="preserve">Comment 4: </w:t>
            </w:r>
            <w:r>
              <w:rPr>
                <w:rFonts w:ascii="Times New Roman" w:hAnsi="Times New Roman"/>
              </w:rPr>
              <w:t>Cost &amp; Schedule (1/2): no total costs.</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b/>
              </w:rPr>
              <w:t xml:space="preserve">Response 4: </w:t>
            </w:r>
            <w:r>
              <w:rPr>
                <w:rFonts w:ascii="Times New Roman" w:hAnsi="Times New Roman"/>
              </w:rPr>
              <w:t>We thank the grader for this observation. The Cost table in Section 3 has been updated to include a bold "Total" row at the bottom. The total reflects the sum of all itemized components (including the spare servo motors and the spare DC-DC inverter) and is reported in both Chinese Yuan and approximate U.S. dollars for clarity. Quantity-related notes (e.g., spares, broken units) remain visible in the table so that the basis of the total is fully transparent.</w:t>
            </w:r>
          </w:p>
          <w:p>
            <w:pPr>
              <w:spacing w:after="80" w:line="276" w:lineRule="auto"/>
            </w:pPr>
            <w:r>
              <w:rPr>
                <w:rFonts w:ascii="Times New Roman" w:hAnsi="Times New Roman"/>
                <w:i/>
              </w:rPr>
              <w:t xml:space="preserve">Location in revised report: </w:t>
            </w:r>
            <w:r>
              <w:rPr>
                <w:rFonts w:ascii="Times New Roman" w:hAnsi="Times New Roman"/>
              </w:rPr>
              <w:t>Section 3 (Cost &amp; Schedule), Table 1, last row.</w:t>
            </w:r>
          </w:p>
          <w:p>
            <w:pPr>
              <w:spacing w:after="80" w:line="276" w:lineRule="auto"/>
            </w:pPr>
            <w:r>
              <w:rPr>
                <w:rFonts w:ascii="Times New Roman" w:hAnsi="Times New Roman"/>
                <w:i/>
                <w:color w:val="7F6000"/>
              </w:rPr>
              <w:t>[</w:t>
            </w:r>
            <w:r>
              <w:rPr>
                <w:rFonts w:ascii="Times New Roman" w:hAnsi="Times New Roman"/>
                <w:i/>
                <w:color w:val="7F6000"/>
              </w:rPr>
              <w:t>Total cost: 1,236.87 RMB (≈ $171.79 USD at 1 USD = 7.20 RMB). This figure represents the total bill of materials for the prototype, including spare and replacement parts consumed during development. It does not include shared lab equipment (oscilloscopes, soldering stations) or 3D-printer filament costs, which were provided by the senior-design lab.</w:t>
            </w:r>
            <w:r>
              <w:rPr>
                <w:rFonts w:ascii="Times New Roman" w:hAnsi="Times New Roman"/>
                <w:i/>
                <w:color w:val="7F6000"/>
              </w:rPr>
              <w:t>]</w:t>
            </w:r>
          </w:p>
        </w:tc>
      </w:tr>
    </w:tbl>
    <w:p/>
    <w:tbl>
      <w:tblPr>
        <w:tblW w:type="auto" w:w="0"/>
        <w:jc w:val="center"/>
        <w:tblLook w:firstColumn="1" w:firstRow="1" w:lastColumn="0" w:lastRow="0" w:noHBand="0" w:noVBand="1" w:val="04A0"/>
      </w:tblPr>
      <w:tblGrid>
        <w:gridCol w:w="9638"/>
      </w:tblGrid>
      <w:tr>
        <w:tc>
          <w:tcPr>
            <w:tcW w:type="dxa" w:w="9638"/>
            <w:tcBorders>
              <w:top w:val="single" w:sz="6" w:color="808080"/>
              <w:left w:val="single" w:sz="6" w:color="808080"/>
              <w:bottom w:val="single" w:sz="6" w:color="808080"/>
              <w:right w:val="single" w:sz="6" w:color="808080"/>
            </w:tcBorders>
            <w:shd w:val="clear" w:color="auto" w:fill="FBE9E7"/>
          </w:tcPr>
          <w:p>
            <w:r/>
          </w:p>
          <w:p>
            <w:pPr>
              <w:spacing w:after="80" w:line="276" w:lineRule="auto"/>
            </w:pPr>
            <w:r>
              <w:rPr>
                <w:rFonts w:ascii="Times New Roman" w:hAnsi="Times New Roman"/>
                <w:b/>
              </w:rPr>
              <w:t xml:space="preserve">Comment 5: </w:t>
            </w:r>
            <w:r>
              <w:rPr>
                <w:rFonts w:ascii="Times New Roman" w:hAnsi="Times New Roman"/>
              </w:rPr>
              <w:t>Requirements and Verifications (8/8) and Conclusions (6/6): full credit.</w:t>
            </w:r>
          </w:p>
        </w:tc>
      </w:tr>
      <w:tr>
        <w:tc>
          <w:tcPr>
            <w:tcW w:type="dxa" w:w="9638"/>
            <w:tcBorders>
              <w:top w:val="single" w:sz="6" w:color="808080"/>
              <w:left w:val="single" w:sz="6" w:color="808080"/>
              <w:bottom w:val="single" w:sz="6" w:color="808080"/>
              <w:right w:val="single" w:sz="6" w:color="808080"/>
            </w:tcBorders>
          </w:tcPr>
          <w:p>
            <w:r/>
          </w:p>
          <w:p>
            <w:pPr>
              <w:spacing w:after="80" w:line="276" w:lineRule="auto"/>
            </w:pPr>
            <w:r>
              <w:rPr>
                <w:rFonts w:ascii="Times New Roman" w:hAnsi="Times New Roman"/>
                <w:b/>
              </w:rPr>
              <w:t xml:space="preserve">Response 5: </w:t>
            </w:r>
            <w:r>
              <w:rPr>
                <w:rFonts w:ascii="Times New Roman" w:hAnsi="Times New Roman"/>
              </w:rPr>
              <w:t>We thank the grader for awarding full credit to these two sections. No structural changes were made to Sections 4 (Requirements and Verifications) or 5 (Conclusion). However, in the course of addressing Comment 2, every Requirements-and-Verification matrix now carries a numbered caption (Table 3 through Table 6) for consistency with the rest of the report. The content of these tables — high-level requirements, verification procedures, measured results, and pass/fail status — is unchanged.</w:t>
            </w:r>
          </w:p>
          <w:p>
            <w:pPr>
              <w:spacing w:after="80" w:line="276" w:lineRule="auto"/>
            </w:pPr>
            <w:r>
              <w:rPr>
                <w:rFonts w:ascii="Times New Roman" w:hAnsi="Times New Roman"/>
                <w:i/>
              </w:rPr>
              <w:t xml:space="preserve">Location in revised report: </w:t>
            </w:r>
            <w:r>
              <w:rPr>
                <w:rFonts w:ascii="Times New Roman" w:hAnsi="Times New Roman"/>
              </w:rPr>
              <w:t>Section 4 (Tables 3–6) and Section 5; captions added, content unchanged.</w:t>
            </w:r>
          </w:p>
        </w:tc>
      </w:tr>
    </w:tbl>
    <w:p/>
    <w:p>
      <w:pPr>
        <w:spacing w:before="280" w:after="80"/>
      </w:pPr>
      <w:r>
        <w:rPr>
          <w:rFonts w:ascii="Times New Roman" w:hAnsi="Times New Roman"/>
        </w:rPr>
        <w:t xml:space="preserve">We hope that the above revisions adequately address the grader's feedback. We are happy to make any further changes that may be requested. All revisions are visible in the resubmitted file </w:t>
      </w:r>
      <w:r>
        <w:rPr>
          <w:rFonts w:ascii="Times New Roman" w:hAnsi="Times New Roman"/>
          <w:i/>
        </w:rPr>
        <w:t>Senior_Design_Report_Revised.docx</w:t>
      </w:r>
      <w:r>
        <w:rPr>
          <w:rFonts w:ascii="Times New Roman" w:hAnsi="Times New Roman"/>
        </w:rPr>
        <w:t>.</w:t>
      </w:r>
    </w:p>
    <w:p>
      <w:pPr>
        <w:spacing w:before="400"/>
        <w:jc w:val="left"/>
      </w:pPr>
      <w:r>
        <w:rPr>
          <w:rFonts w:ascii="Times New Roman" w:hAnsi="Times New Roman"/>
        </w:rPr>
        <w:t>Sincerely,</w:t>
      </w:r>
    </w:p>
    <w:p>
      <w:pPr>
        <w:spacing w:after="0"/>
      </w:pPr>
      <w:r>
        <w:rPr>
          <w:rFonts w:ascii="Times New Roman" w:hAnsi="Times New Roman"/>
        </w:rPr>
        <w:t xml:space="preserve">Team #17 — </w:t>
      </w:r>
      <w:r>
        <w:rPr>
          <w:rFonts w:ascii="Times New Roman" w:hAnsi="Times New Roman"/>
          <w:i/>
        </w:rPr>
        <w:t>Simeng Yan, Wenye Zhang, Fengyi Jin, Shengyu Xu</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