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20" w:line="259" w:lineRule="auto"/>
        <w:jc w:val="center"/>
      </w:pPr>
      <w:r>
        <w:rPr>
          <w:rFonts w:ascii="Times New Roman" w:hAnsi="Times New Roman" w:eastAsia="Times New Roman"/>
          <w:b/>
          <w:sz w:val="32"/>
        </w:rPr>
        <w:t>Final Report Rebuttal</w:t>
      </w:r>
    </w:p>
    <w:p>
      <w:pPr>
        <w:spacing w:before="0" w:after="120" w:line="259" w:lineRule="auto"/>
        <w:jc w:val="center"/>
      </w:pPr>
      <w:r>
        <w:rPr>
          <w:rFonts w:ascii="Times New Roman" w:hAnsi="Times New Roman" w:eastAsia="Times New Roman"/>
          <w:b/>
          <w:sz w:val="24"/>
        </w:rPr>
        <w:t>Project 50.2: Automatic Sorting Robotic Arm for Table Tennis Balls</w:t>
      </w:r>
    </w:p>
    <w:p>
      <w:pPr>
        <w:spacing w:before="0" w:after="240" w:line="259" w:lineRule="auto"/>
        <w:jc w:val="center"/>
      </w:pPr>
      <w:r>
        <w:rPr>
          <w:rFonts w:ascii="Times New Roman" w:hAnsi="Times New Roman" w:eastAsia="Times New Roman"/>
          <w:sz w:val="24"/>
        </w:rPr>
        <w:t>Team members: Siqi Pan, Zhonghao Wang, Xucheng Wu</w:t>
      </w:r>
    </w:p>
    <w:p>
      <w:pPr>
        <w:spacing w:before="160" w:after="80" w:line="259" w:lineRule="auto"/>
      </w:pPr>
      <w:r>
        <w:rPr>
          <w:rFonts w:ascii="Times New Roman" w:hAnsi="Times New Roman" w:eastAsia="Times New Roman"/>
          <w:b/>
          <w:sz w:val="24"/>
        </w:rPr>
        <w:t>1. Summary</w:t>
      </w:r>
    </w:p>
    <w:p>
      <w:pPr>
        <w:spacing w:before="0" w:after="120" w:line="259" w:lineRule="auto"/>
      </w:pPr>
      <w:r>
        <w:rPr>
          <w:rFonts w:ascii="Times New Roman" w:hAnsi="Times New Roman" w:eastAsia="Times New Roman"/>
          <w:sz w:val="24"/>
        </w:rPr>
        <w:t>We thank the reviewer for the feedback on Project 50.2. The returned request was to clarify how color differentiation is performed and to add quantitative analysis. This rebuttal directly addresses that request by stating the color-sensor algorithm, the decision thresholds, representative calibration readings, and the connection between the threshold analysis and the final verification result.</w:t>
      </w:r>
    </w:p>
    <w:p>
      <w:pPr>
        <w:spacing w:before="160" w:after="80" w:line="259" w:lineRule="auto"/>
      </w:pPr>
      <w:r>
        <w:rPr>
          <w:rFonts w:ascii="Times New Roman" w:hAnsi="Times New Roman" w:eastAsia="Times New Roman"/>
          <w:b/>
          <w:sz w:val="24"/>
        </w:rPr>
        <w:t>2. Returned Evaluation</w:t>
      </w:r>
    </w:p>
    <w:p>
      <w:pPr>
        <w:spacing w:before="0" w:after="120" w:line="259" w:lineRule="auto"/>
      </w:pPr>
      <w:r>
        <w:rPr>
          <w:rFonts w:ascii="Times New Roman" w:hAnsi="Times New Roman" w:eastAsia="Times New Roman"/>
          <w:sz w:val="24"/>
        </w:rPr>
        <w:t>Request: clarify how color differentiation is done, and add quantitative analysis.</w:t>
      </w:r>
    </w:p>
    <w:p>
      <w:pPr>
        <w:spacing w:before="0" w:after="120" w:line="259" w:lineRule="auto"/>
      </w:pPr>
      <w:r>
        <w:rPr>
          <w:rFonts w:ascii="Times New Roman" w:hAnsi="Times New Roman" w:eastAsia="Times New Roman"/>
          <w:sz w:val="24"/>
        </w:rPr>
        <w:t>Score summary: Introduction 4/5; Design 5/9; Cost and Schedule 2/2; Requirements and Verification 4/8; Conclusions 6/6; Total Score 21.</w:t>
      </w:r>
    </w:p>
    <w:p>
      <w:pPr>
        <w:spacing w:before="160" w:after="80" w:line="259" w:lineRule="auto"/>
      </w:pPr>
      <w:r>
        <w:rPr>
          <w:rFonts w:ascii="Times New Roman" w:hAnsi="Times New Roman" w:eastAsia="Times New Roman"/>
          <w:b/>
          <w:sz w:val="24"/>
        </w:rPr>
        <w:t>3. Point-by-Point Response to Comment</w:t>
      </w:r>
    </w:p>
    <w:p>
      <w:pPr>
        <w:spacing w:before="80" w:after="40" w:line="259" w:lineRule="auto"/>
      </w:pPr>
      <w:r>
        <w:rPr>
          <w:rFonts w:ascii="Times New Roman" w:hAnsi="Times New Roman" w:eastAsia="Times New Roman"/>
          <w:b/>
          <w:sz w:val="24"/>
        </w:rPr>
        <w:t xml:space="preserve">Comment: </w:t>
      </w:r>
      <w:r>
        <w:rPr>
          <w:rFonts w:ascii="Times New Roman" w:hAnsi="Times New Roman" w:eastAsia="Times New Roman"/>
          <w:sz w:val="24"/>
        </w:rPr>
        <w:t>Clarify how color differentiation is done.</w:t>
      </w:r>
    </w:p>
    <w:p>
      <w:pPr>
        <w:spacing w:before="0" w:after="120" w:line="259" w:lineRule="auto"/>
      </w:pPr>
      <w:r>
        <w:rPr>
          <w:rFonts w:ascii="Times New Roman" w:hAnsi="Times New Roman" w:eastAsia="Times New Roman"/>
          <w:b/>
          <w:sz w:val="24"/>
        </w:rPr>
        <w:t xml:space="preserve">Response: </w:t>
      </w:r>
      <w:r>
        <w:rPr>
          <w:rFonts w:ascii="Times New Roman" w:hAnsi="Times New Roman" w:eastAsia="Times New Roman"/>
          <w:sz w:val="24"/>
        </w:rPr>
        <w:t>We thank the reviewer for the comment. The color differentiation method is based on clear-channel-normalized TCS34725 readings. For each ball, the Arduino records raw red, green, blue, and clear-channel values, denoted as R, G, B, and C. The software then computes normalized ratios R_r = R/C, G_r = G/C, and B_r = B/C. This avoids using absolute brightness alone and instead compares the relative strength of the three color channels.</w:t>
      </w:r>
    </w:p>
    <w:p>
      <w:pPr>
        <w:spacing w:before="0" w:after="120" w:line="259" w:lineRule="auto"/>
      </w:pPr>
      <w:r>
        <w:rPr>
          <w:rFonts w:ascii="Times New Roman" w:hAnsi="Times New Roman" w:eastAsia="Times New Roman"/>
          <w:b/>
          <w:sz w:val="24"/>
        </w:rPr>
        <w:t xml:space="preserve">Response: </w:t>
      </w:r>
      <w:r>
        <w:rPr>
          <w:rFonts w:ascii="Times New Roman" w:hAnsi="Times New Roman" w:eastAsia="Times New Roman"/>
          <w:sz w:val="24"/>
        </w:rPr>
        <w:t>The implemented decision rules are: yellow/orange if R_r &gt; G_r, G_r &gt; B_r, and R_r - B_r &gt; 0.055; white if B_r - R_r &gt; 0.20 and G_r - R_r &gt; 0.12. If neither rule is satisfied, the reading is treated as unknown rather than intentionally assigned to either color bin.</w:t>
      </w:r>
    </w:p>
    <w:p>
      <w:pPr>
        <w:spacing w:before="80" w:after="40" w:line="259" w:lineRule="auto"/>
      </w:pPr>
      <w:r>
        <w:rPr>
          <w:rFonts w:ascii="Times New Roman" w:hAnsi="Times New Roman" w:eastAsia="Times New Roman"/>
          <w:b/>
          <w:sz w:val="24"/>
        </w:rPr>
        <w:t xml:space="preserve">Comment: </w:t>
      </w:r>
      <w:r>
        <w:rPr>
          <w:rFonts w:ascii="Times New Roman" w:hAnsi="Times New Roman" w:eastAsia="Times New Roman"/>
          <w:sz w:val="24"/>
        </w:rPr>
        <w:t>Add quantitative analysis.</w:t>
      </w:r>
    </w:p>
    <w:p>
      <w:pPr>
        <w:spacing w:before="0" w:after="120" w:line="259" w:lineRule="auto"/>
      </w:pPr>
      <w:r>
        <w:rPr>
          <w:rFonts w:ascii="Times New Roman" w:hAnsi="Times New Roman" w:eastAsia="Times New Roman"/>
          <w:b/>
          <w:sz w:val="24"/>
        </w:rPr>
        <w:t xml:space="preserve">Response: </w:t>
      </w:r>
      <w:r>
        <w:rPr>
          <w:rFonts w:ascii="Times New Roman" w:hAnsi="Times New Roman" w:eastAsia="Times New Roman"/>
          <w:sz w:val="24"/>
        </w:rPr>
        <w:t>Representative calibration readings collected with the final sensor position and lighting condition are shown below.</w:t>
      </w:r>
    </w:p>
    <w:tbl>
      <w:tblPr>
        <w:tblStyle w:val="TableGrid"/>
        <w:tblW w:type="auto" w:w="0"/>
        <w:jc w:val="center"/>
        <w:tblLook w:firstColumn="1" w:firstRow="1" w:lastColumn="0" w:lastRow="0" w:noHBand="0" w:noVBand="1" w:val="04A0"/>
      </w:tblPr>
      <w:tblGrid>
        <w:gridCol w:w="1170"/>
        <w:gridCol w:w="1170"/>
        <w:gridCol w:w="1170"/>
        <w:gridCol w:w="1170"/>
        <w:gridCol w:w="1170"/>
        <w:gridCol w:w="1170"/>
        <w:gridCol w:w="1170"/>
        <w:gridCol w:w="1170"/>
      </w:tblGrid>
      <w:tr>
        <w:tc>
          <w:tcPr>
            <w:tcW w:type="dxa" w:w="1872"/>
            <w:vAlign w:val="center"/>
            <w:tcMar>
              <w:top w:w="80" w:type="dxa"/>
              <w:start w:w="100" w:type="dxa"/>
              <w:bottom w:w="80" w:type="dxa"/>
              <w:end w:w="100" w:type="dxa"/>
            </w:tcMar>
          </w:tcPr>
          <w:p>
            <w:r>
              <w:rPr>
                <w:rFonts w:ascii="Times New Roman" w:hAnsi="Times New Roman" w:eastAsia="Times New Roman"/>
                <w:b/>
                <w:sz w:val="20"/>
              </w:rPr>
              <w:t>Ball sample</w:t>
            </w:r>
          </w:p>
        </w:tc>
        <w:tc>
          <w:tcPr>
            <w:tcW w:type="dxa" w:w="792"/>
            <w:vAlign w:val="center"/>
            <w:tcMar>
              <w:top w:w="80" w:type="dxa"/>
              <w:start w:w="100" w:type="dxa"/>
              <w:bottom w:w="80" w:type="dxa"/>
              <w:end w:w="100" w:type="dxa"/>
            </w:tcMar>
          </w:tcPr>
          <w:p>
            <w:r>
              <w:rPr>
                <w:rFonts w:ascii="Times New Roman" w:hAnsi="Times New Roman" w:eastAsia="Times New Roman"/>
                <w:b/>
                <w:sz w:val="20"/>
              </w:rPr>
              <w:t>R</w:t>
            </w:r>
          </w:p>
        </w:tc>
        <w:tc>
          <w:tcPr>
            <w:tcW w:type="dxa" w:w="792"/>
            <w:vAlign w:val="center"/>
            <w:tcMar>
              <w:top w:w="80" w:type="dxa"/>
              <w:start w:w="100" w:type="dxa"/>
              <w:bottom w:w="80" w:type="dxa"/>
              <w:end w:w="100" w:type="dxa"/>
            </w:tcMar>
          </w:tcPr>
          <w:p>
            <w:r>
              <w:rPr>
                <w:rFonts w:ascii="Times New Roman" w:hAnsi="Times New Roman" w:eastAsia="Times New Roman"/>
                <w:b/>
                <w:sz w:val="20"/>
              </w:rPr>
              <w:t>G</w:t>
            </w:r>
          </w:p>
        </w:tc>
        <w:tc>
          <w:tcPr>
            <w:tcW w:type="dxa" w:w="792"/>
            <w:vAlign w:val="center"/>
            <w:tcMar>
              <w:top w:w="80" w:type="dxa"/>
              <w:start w:w="100" w:type="dxa"/>
              <w:bottom w:w="80" w:type="dxa"/>
              <w:end w:w="100" w:type="dxa"/>
            </w:tcMar>
          </w:tcPr>
          <w:p>
            <w:r>
              <w:rPr>
                <w:rFonts w:ascii="Times New Roman" w:hAnsi="Times New Roman" w:eastAsia="Times New Roman"/>
                <w:b/>
                <w:sz w:val="20"/>
              </w:rPr>
              <w:t>B</w:t>
            </w:r>
          </w:p>
        </w:tc>
        <w:tc>
          <w:tcPr>
            <w:tcW w:type="dxa" w:w="1007"/>
            <w:vAlign w:val="center"/>
            <w:tcMar>
              <w:top w:w="80" w:type="dxa"/>
              <w:start w:w="100" w:type="dxa"/>
              <w:bottom w:w="80" w:type="dxa"/>
              <w:end w:w="100" w:type="dxa"/>
            </w:tcMar>
          </w:tcPr>
          <w:p>
            <w:r>
              <w:rPr>
                <w:rFonts w:ascii="Times New Roman" w:hAnsi="Times New Roman" w:eastAsia="Times New Roman"/>
                <w:b/>
                <w:sz w:val="20"/>
              </w:rPr>
              <w:t>C</w:t>
            </w:r>
          </w:p>
        </w:tc>
        <w:tc>
          <w:tcPr>
            <w:tcW w:type="dxa" w:w="1007"/>
            <w:vAlign w:val="center"/>
            <w:tcMar>
              <w:top w:w="80" w:type="dxa"/>
              <w:start w:w="100" w:type="dxa"/>
              <w:bottom w:w="80" w:type="dxa"/>
              <w:end w:w="100" w:type="dxa"/>
            </w:tcMar>
          </w:tcPr>
          <w:p>
            <w:r>
              <w:rPr>
                <w:rFonts w:ascii="Times New Roman" w:hAnsi="Times New Roman" w:eastAsia="Times New Roman"/>
                <w:b/>
                <w:sz w:val="20"/>
              </w:rPr>
              <w:t>R_r</w:t>
            </w:r>
          </w:p>
        </w:tc>
        <w:tc>
          <w:tcPr>
            <w:tcW w:type="dxa" w:w="1007"/>
            <w:vAlign w:val="center"/>
            <w:tcMar>
              <w:top w:w="80" w:type="dxa"/>
              <w:start w:w="100" w:type="dxa"/>
              <w:bottom w:w="80" w:type="dxa"/>
              <w:end w:w="100" w:type="dxa"/>
            </w:tcMar>
          </w:tcPr>
          <w:p>
            <w:r>
              <w:rPr>
                <w:rFonts w:ascii="Times New Roman" w:hAnsi="Times New Roman" w:eastAsia="Times New Roman"/>
                <w:b/>
                <w:sz w:val="20"/>
              </w:rPr>
              <w:t>G_r</w:t>
            </w:r>
          </w:p>
        </w:tc>
        <w:tc>
          <w:tcPr>
            <w:tcW w:type="dxa" w:w="1007"/>
            <w:vAlign w:val="center"/>
            <w:tcMar>
              <w:top w:w="80" w:type="dxa"/>
              <w:start w:w="100" w:type="dxa"/>
              <w:bottom w:w="80" w:type="dxa"/>
              <w:end w:w="100" w:type="dxa"/>
            </w:tcMar>
          </w:tcPr>
          <w:p>
            <w:r>
              <w:rPr>
                <w:rFonts w:ascii="Times New Roman" w:hAnsi="Times New Roman" w:eastAsia="Times New Roman"/>
                <w:b/>
                <w:sz w:val="20"/>
              </w:rPr>
              <w:t>B_r</w:t>
            </w:r>
          </w:p>
        </w:tc>
      </w:tr>
      <w:tr>
        <w:tc>
          <w:tcPr>
            <w:tcW w:type="dxa" w:w="1872"/>
            <w:vAlign w:val="center"/>
            <w:tcMar>
              <w:top w:w="80" w:type="dxa"/>
              <w:start w:w="100" w:type="dxa"/>
              <w:bottom w:w="80" w:type="dxa"/>
              <w:end w:w="100" w:type="dxa"/>
            </w:tcMar>
          </w:tcPr>
          <w:p>
            <w:r>
              <w:rPr>
                <w:rFonts w:ascii="Times New Roman" w:hAnsi="Times New Roman" w:eastAsia="Times New Roman"/>
                <w:sz w:val="20"/>
              </w:rPr>
              <w:t>Yellow/orange</w:t>
            </w:r>
          </w:p>
        </w:tc>
        <w:tc>
          <w:tcPr>
            <w:tcW w:type="dxa" w:w="792"/>
            <w:vAlign w:val="center"/>
            <w:tcMar>
              <w:top w:w="80" w:type="dxa"/>
              <w:start w:w="100" w:type="dxa"/>
              <w:bottom w:w="80" w:type="dxa"/>
              <w:end w:w="100" w:type="dxa"/>
            </w:tcMar>
          </w:tcPr>
          <w:p>
            <w:r>
              <w:rPr>
                <w:rFonts w:ascii="Times New Roman" w:hAnsi="Times New Roman" w:eastAsia="Times New Roman"/>
                <w:sz w:val="20"/>
              </w:rPr>
              <w:t>8793</w:t>
            </w:r>
          </w:p>
        </w:tc>
        <w:tc>
          <w:tcPr>
            <w:tcW w:type="dxa" w:w="792"/>
            <w:vAlign w:val="center"/>
            <w:tcMar>
              <w:top w:w="80" w:type="dxa"/>
              <w:start w:w="100" w:type="dxa"/>
              <w:bottom w:w="80" w:type="dxa"/>
              <w:end w:w="100" w:type="dxa"/>
            </w:tcMar>
          </w:tcPr>
          <w:p>
            <w:r>
              <w:rPr>
                <w:rFonts w:ascii="Times New Roman" w:hAnsi="Times New Roman" w:eastAsia="Times New Roman"/>
                <w:sz w:val="20"/>
              </w:rPr>
              <w:t>7343</w:t>
            </w:r>
          </w:p>
        </w:tc>
        <w:tc>
          <w:tcPr>
            <w:tcW w:type="dxa" w:w="792"/>
            <w:vAlign w:val="center"/>
            <w:tcMar>
              <w:top w:w="80" w:type="dxa"/>
              <w:start w:w="100" w:type="dxa"/>
              <w:bottom w:w="80" w:type="dxa"/>
              <w:end w:w="100" w:type="dxa"/>
            </w:tcMar>
          </w:tcPr>
          <w:p>
            <w:r>
              <w:rPr>
                <w:rFonts w:ascii="Times New Roman" w:hAnsi="Times New Roman" w:eastAsia="Times New Roman"/>
                <w:sz w:val="20"/>
              </w:rPr>
              <w:t>5283</w:t>
            </w:r>
          </w:p>
        </w:tc>
        <w:tc>
          <w:tcPr>
            <w:tcW w:type="dxa" w:w="1007"/>
            <w:vAlign w:val="center"/>
            <w:tcMar>
              <w:top w:w="80" w:type="dxa"/>
              <w:start w:w="100" w:type="dxa"/>
              <w:bottom w:w="80" w:type="dxa"/>
              <w:end w:w="100" w:type="dxa"/>
            </w:tcMar>
          </w:tcPr>
          <w:p>
            <w:r>
              <w:rPr>
                <w:rFonts w:ascii="Times New Roman" w:hAnsi="Times New Roman" w:eastAsia="Times New Roman"/>
                <w:sz w:val="20"/>
              </w:rPr>
              <w:t>21504</w:t>
            </w:r>
          </w:p>
        </w:tc>
        <w:tc>
          <w:tcPr>
            <w:tcW w:type="dxa" w:w="1007"/>
            <w:vAlign w:val="center"/>
            <w:tcMar>
              <w:top w:w="80" w:type="dxa"/>
              <w:start w:w="100" w:type="dxa"/>
              <w:bottom w:w="80" w:type="dxa"/>
              <w:end w:w="100" w:type="dxa"/>
            </w:tcMar>
          </w:tcPr>
          <w:p>
            <w:r>
              <w:rPr>
                <w:rFonts w:ascii="Times New Roman" w:hAnsi="Times New Roman" w:eastAsia="Times New Roman"/>
                <w:sz w:val="20"/>
              </w:rPr>
              <w:t>0.4089</w:t>
            </w:r>
          </w:p>
        </w:tc>
        <w:tc>
          <w:tcPr>
            <w:tcW w:type="dxa" w:w="1007"/>
            <w:vAlign w:val="center"/>
            <w:tcMar>
              <w:top w:w="80" w:type="dxa"/>
              <w:start w:w="100" w:type="dxa"/>
              <w:bottom w:w="80" w:type="dxa"/>
              <w:end w:w="100" w:type="dxa"/>
            </w:tcMar>
          </w:tcPr>
          <w:p>
            <w:r>
              <w:rPr>
                <w:rFonts w:ascii="Times New Roman" w:hAnsi="Times New Roman" w:eastAsia="Times New Roman"/>
                <w:sz w:val="20"/>
              </w:rPr>
              <w:t>0.3415</w:t>
            </w:r>
          </w:p>
        </w:tc>
        <w:tc>
          <w:tcPr>
            <w:tcW w:type="dxa" w:w="1007"/>
            <w:vAlign w:val="center"/>
            <w:tcMar>
              <w:top w:w="80" w:type="dxa"/>
              <w:start w:w="100" w:type="dxa"/>
              <w:bottom w:w="80" w:type="dxa"/>
              <w:end w:w="100" w:type="dxa"/>
            </w:tcMar>
          </w:tcPr>
          <w:p>
            <w:r>
              <w:rPr>
                <w:rFonts w:ascii="Times New Roman" w:hAnsi="Times New Roman" w:eastAsia="Times New Roman"/>
                <w:sz w:val="20"/>
              </w:rPr>
              <w:t>0.2457</w:t>
            </w:r>
          </w:p>
        </w:tc>
      </w:tr>
      <w:tr>
        <w:tc>
          <w:tcPr>
            <w:tcW w:type="dxa" w:w="1872"/>
            <w:vAlign w:val="center"/>
            <w:tcMar>
              <w:top w:w="80" w:type="dxa"/>
              <w:start w:w="100" w:type="dxa"/>
              <w:bottom w:w="80" w:type="dxa"/>
              <w:end w:w="100" w:type="dxa"/>
            </w:tcMar>
          </w:tcPr>
          <w:p>
            <w:r>
              <w:rPr>
                <w:rFonts w:ascii="Times New Roman" w:hAnsi="Times New Roman" w:eastAsia="Times New Roman"/>
                <w:sz w:val="20"/>
              </w:rPr>
              <w:t>White</w:t>
            </w:r>
          </w:p>
        </w:tc>
        <w:tc>
          <w:tcPr>
            <w:tcW w:type="dxa" w:w="792"/>
            <w:vAlign w:val="center"/>
            <w:tcMar>
              <w:top w:w="80" w:type="dxa"/>
              <w:start w:w="100" w:type="dxa"/>
              <w:bottom w:w="80" w:type="dxa"/>
              <w:end w:w="100" w:type="dxa"/>
            </w:tcMar>
          </w:tcPr>
          <w:p>
            <w:r>
              <w:rPr>
                <w:rFonts w:ascii="Times New Roman" w:hAnsi="Times New Roman" w:eastAsia="Times New Roman"/>
                <w:sz w:val="20"/>
              </w:rPr>
              <w:t>9231</w:t>
            </w:r>
          </w:p>
        </w:tc>
        <w:tc>
          <w:tcPr>
            <w:tcW w:type="dxa" w:w="792"/>
            <w:vAlign w:val="center"/>
            <w:tcMar>
              <w:top w:w="80" w:type="dxa"/>
              <w:start w:w="100" w:type="dxa"/>
              <w:bottom w:w="80" w:type="dxa"/>
              <w:end w:w="100" w:type="dxa"/>
            </w:tcMar>
          </w:tcPr>
          <w:p>
            <w:r>
              <w:rPr>
                <w:rFonts w:ascii="Times New Roman" w:hAnsi="Times New Roman" w:eastAsia="Times New Roman"/>
                <w:sz w:val="20"/>
              </w:rPr>
              <w:t>15647</w:t>
            </w:r>
          </w:p>
        </w:tc>
        <w:tc>
          <w:tcPr>
            <w:tcW w:type="dxa" w:w="792"/>
            <w:vAlign w:val="center"/>
            <w:tcMar>
              <w:top w:w="80" w:type="dxa"/>
              <w:start w:w="100" w:type="dxa"/>
              <w:bottom w:w="80" w:type="dxa"/>
              <w:end w:w="100" w:type="dxa"/>
            </w:tcMar>
          </w:tcPr>
          <w:p>
            <w:r>
              <w:rPr>
                <w:rFonts w:ascii="Times New Roman" w:hAnsi="Times New Roman" w:eastAsia="Times New Roman"/>
                <w:sz w:val="20"/>
              </w:rPr>
              <w:t>19361</w:t>
            </w:r>
          </w:p>
        </w:tc>
        <w:tc>
          <w:tcPr>
            <w:tcW w:type="dxa" w:w="1007"/>
            <w:vAlign w:val="center"/>
            <w:tcMar>
              <w:top w:w="80" w:type="dxa"/>
              <w:start w:w="100" w:type="dxa"/>
              <w:bottom w:w="80" w:type="dxa"/>
              <w:end w:w="100" w:type="dxa"/>
            </w:tcMar>
          </w:tcPr>
          <w:p>
            <w:r>
              <w:rPr>
                <w:rFonts w:ascii="Times New Roman" w:hAnsi="Times New Roman" w:eastAsia="Times New Roman"/>
                <w:sz w:val="20"/>
              </w:rPr>
              <w:t>21504</w:t>
            </w:r>
          </w:p>
        </w:tc>
        <w:tc>
          <w:tcPr>
            <w:tcW w:type="dxa" w:w="1007"/>
            <w:vAlign w:val="center"/>
            <w:tcMar>
              <w:top w:w="80" w:type="dxa"/>
              <w:start w:w="100" w:type="dxa"/>
              <w:bottom w:w="80" w:type="dxa"/>
              <w:end w:w="100" w:type="dxa"/>
            </w:tcMar>
          </w:tcPr>
          <w:p>
            <w:r>
              <w:rPr>
                <w:rFonts w:ascii="Times New Roman" w:hAnsi="Times New Roman" w:eastAsia="Times New Roman"/>
                <w:sz w:val="20"/>
              </w:rPr>
              <w:t>0.4293</w:t>
            </w:r>
          </w:p>
        </w:tc>
        <w:tc>
          <w:tcPr>
            <w:tcW w:type="dxa" w:w="1007"/>
            <w:vAlign w:val="center"/>
            <w:tcMar>
              <w:top w:w="80" w:type="dxa"/>
              <w:start w:w="100" w:type="dxa"/>
              <w:bottom w:w="80" w:type="dxa"/>
              <w:end w:w="100" w:type="dxa"/>
            </w:tcMar>
          </w:tcPr>
          <w:p>
            <w:r>
              <w:rPr>
                <w:rFonts w:ascii="Times New Roman" w:hAnsi="Times New Roman" w:eastAsia="Times New Roman"/>
                <w:sz w:val="20"/>
              </w:rPr>
              <w:t>0.7276</w:t>
            </w:r>
          </w:p>
        </w:tc>
        <w:tc>
          <w:tcPr>
            <w:tcW w:type="dxa" w:w="1007"/>
            <w:vAlign w:val="center"/>
            <w:tcMar>
              <w:top w:w="80" w:type="dxa"/>
              <w:start w:w="100" w:type="dxa"/>
              <w:bottom w:w="80" w:type="dxa"/>
              <w:end w:w="100" w:type="dxa"/>
            </w:tcMar>
          </w:tcPr>
          <w:p>
            <w:r>
              <w:rPr>
                <w:rFonts w:ascii="Times New Roman" w:hAnsi="Times New Roman" w:eastAsia="Times New Roman"/>
                <w:sz w:val="20"/>
              </w:rPr>
              <w:t>0.9003</w:t>
            </w:r>
          </w:p>
        </w:tc>
      </w:tr>
    </w:tbl>
    <w:p>
      <w:pPr>
        <w:spacing w:before="0" w:after="120" w:line="259" w:lineRule="auto"/>
      </w:pPr>
      <w:r>
        <w:rPr>
          <w:rFonts w:ascii="Times New Roman" w:hAnsi="Times New Roman" w:eastAsia="Times New Roman"/>
          <w:b/>
          <w:sz w:val="24"/>
        </w:rPr>
        <w:t xml:space="preserve">Response: </w:t>
      </w:r>
      <w:r>
        <w:rPr>
          <w:rFonts w:ascii="Times New Roman" w:hAnsi="Times New Roman" w:eastAsia="Times New Roman"/>
          <w:sz w:val="24"/>
        </w:rPr>
        <w:t>For the yellow/orange sample, R_r - B_r = 0.4089 - 0.2457 = 0.1632, which is 0.1082 above the 0.055 threshold. For the white sample, B_r - R_r = 0.9003 - 0.4293 = 0.4710 and G_r - R_r = 0.7276 - 0.4293 = 0.2983. These are 0.2710 and 0.1783 above the corresponding white-ball thresholds. Therefore, in the tested geometry, the two ball colors are separated by clear normalized-ratio margins rather than by subjective visual judgment.</w:t>
      </w:r>
    </w:p>
    <w:p>
      <w:pPr>
        <w:spacing w:before="80" w:after="40" w:line="259" w:lineRule="auto"/>
      </w:pPr>
      <w:r>
        <w:rPr>
          <w:rFonts w:ascii="Times New Roman" w:hAnsi="Times New Roman" w:eastAsia="Times New Roman"/>
          <w:b/>
          <w:sz w:val="24"/>
        </w:rPr>
        <w:t xml:space="preserve">Comment: </w:t>
      </w:r>
      <w:r>
        <w:rPr>
          <w:rFonts w:ascii="Times New Roman" w:hAnsi="Times New Roman" w:eastAsia="Times New Roman"/>
          <w:sz w:val="24"/>
        </w:rPr>
        <w:t>Relate the quantitative analysis to the verification result.</w:t>
      </w:r>
    </w:p>
    <w:p>
      <w:pPr>
        <w:spacing w:before="0" w:after="120" w:line="259" w:lineRule="auto"/>
      </w:pPr>
      <w:r>
        <w:rPr>
          <w:rFonts w:ascii="Times New Roman" w:hAnsi="Times New Roman" w:eastAsia="Times New Roman"/>
          <w:b/>
          <w:sz w:val="24"/>
        </w:rPr>
        <w:t xml:space="preserve">Response: </w:t>
      </w:r>
      <w:r>
        <w:rPr>
          <w:rFonts w:ascii="Times New Roman" w:hAnsi="Times New Roman" w:eastAsia="Times New Roman"/>
          <w:sz w:val="24"/>
        </w:rPr>
        <w:t>The final end-to-end test result was 49 successful sorts out of 50 attempted balls across five 10-ball trials. The only missed sort was caused by a double-feed mechanical event in which one yellow/orange ball left the sorting region before it could be processed. This supports the conclusion that the main remaining reliability limit is mechanical feeding, not the color-threshold separation.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